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9D" w:rsidRPr="00BF3B0E" w:rsidRDefault="0029329D" w:rsidP="0029329D">
      <w:pPr>
        <w:pStyle w:val="1"/>
        <w:jc w:val="center"/>
        <w:rPr>
          <w:rFonts w:ascii="黑体" w:eastAsia="黑体"/>
          <w:b w:val="0"/>
          <w:sz w:val="32"/>
          <w:szCs w:val="32"/>
        </w:rPr>
      </w:pPr>
      <w:bookmarkStart w:id="0" w:name="_Toc293924323"/>
      <w:bookmarkStart w:id="1" w:name="_Toc377116675"/>
      <w:r w:rsidRPr="00BF3B0E">
        <w:rPr>
          <w:rFonts w:ascii="黑体" w:eastAsia="黑体" w:hint="eastAsia"/>
          <w:b w:val="0"/>
          <w:sz w:val="32"/>
          <w:szCs w:val="32"/>
        </w:rPr>
        <w:t>品牌价值</w:t>
      </w:r>
      <w:bookmarkEnd w:id="0"/>
      <w:r>
        <w:rPr>
          <w:rFonts w:ascii="黑体" w:eastAsia="黑体" w:hint="eastAsia"/>
          <w:b w:val="0"/>
          <w:sz w:val="32"/>
          <w:szCs w:val="32"/>
        </w:rPr>
        <w:t xml:space="preserve">评价  </w:t>
      </w:r>
      <w:bookmarkEnd w:id="1"/>
      <w:r>
        <w:rPr>
          <w:rFonts w:ascii="黑体" w:eastAsia="黑体" w:hint="eastAsia"/>
          <w:b w:val="0"/>
          <w:sz w:val="32"/>
          <w:szCs w:val="32"/>
        </w:rPr>
        <w:t>汽车售后零部件服务</w:t>
      </w:r>
      <w:r w:rsidR="007958EC">
        <w:rPr>
          <w:rFonts w:ascii="黑体" w:eastAsia="黑体" w:hint="eastAsia"/>
          <w:b w:val="0"/>
          <w:sz w:val="32"/>
          <w:szCs w:val="32"/>
        </w:rPr>
        <w:t>（</w:t>
      </w:r>
      <w:r w:rsidR="00A079A4">
        <w:rPr>
          <w:rFonts w:ascii="黑体" w:eastAsia="黑体" w:hint="eastAsia"/>
          <w:b w:val="0"/>
          <w:sz w:val="32"/>
          <w:szCs w:val="32"/>
        </w:rPr>
        <w:t>征求意见</w:t>
      </w:r>
      <w:r w:rsidR="007958EC">
        <w:rPr>
          <w:rFonts w:ascii="黑体" w:eastAsia="黑体" w:hint="eastAsia"/>
          <w:b w:val="0"/>
          <w:sz w:val="32"/>
          <w:szCs w:val="32"/>
        </w:rPr>
        <w:t>稿）</w:t>
      </w:r>
    </w:p>
    <w:p w:rsidR="0029329D" w:rsidRPr="00851986" w:rsidRDefault="0029329D" w:rsidP="0029329D">
      <w:pPr>
        <w:pStyle w:val="1"/>
        <w:spacing w:before="0" w:after="0" w:line="240" w:lineRule="auto"/>
        <w:jc w:val="left"/>
        <w:rPr>
          <w:rFonts w:ascii="黑体" w:eastAsia="黑体"/>
          <w:b w:val="0"/>
          <w:sz w:val="24"/>
          <w:szCs w:val="24"/>
        </w:rPr>
      </w:pPr>
      <w:bookmarkStart w:id="2" w:name="_Ref293909832"/>
      <w:bookmarkStart w:id="3" w:name="_Toc377116676"/>
      <w:r w:rsidRPr="00851986">
        <w:rPr>
          <w:rFonts w:ascii="黑体" w:eastAsia="黑体" w:hint="eastAsia"/>
          <w:b w:val="0"/>
          <w:sz w:val="24"/>
          <w:szCs w:val="24"/>
        </w:rPr>
        <w:t>1  范围</w:t>
      </w:r>
      <w:bookmarkEnd w:id="2"/>
      <w:bookmarkEnd w:id="3"/>
    </w:p>
    <w:p w:rsidR="0029329D" w:rsidRPr="00D047A9" w:rsidRDefault="0029329D" w:rsidP="0029329D">
      <w:pPr>
        <w:spacing w:line="440" w:lineRule="exact"/>
        <w:ind w:firstLineChars="200" w:firstLine="420"/>
        <w:rPr>
          <w:szCs w:val="21"/>
        </w:rPr>
      </w:pPr>
      <w:r w:rsidRPr="00D047A9">
        <w:rPr>
          <w:rFonts w:hint="eastAsia"/>
          <w:szCs w:val="21"/>
        </w:rPr>
        <w:t>本标准对</w:t>
      </w:r>
      <w:r w:rsidRPr="0029329D">
        <w:rPr>
          <w:rFonts w:hint="eastAsia"/>
          <w:szCs w:val="21"/>
        </w:rPr>
        <w:t>汽车售后零部件</w:t>
      </w:r>
      <w:r>
        <w:rPr>
          <w:rFonts w:hint="eastAsia"/>
          <w:szCs w:val="21"/>
        </w:rPr>
        <w:t>服务的品牌货币价值</w:t>
      </w:r>
      <w:r w:rsidRPr="00D047A9">
        <w:rPr>
          <w:rFonts w:hint="eastAsia"/>
          <w:szCs w:val="21"/>
        </w:rPr>
        <w:t>测</w:t>
      </w:r>
      <w:r>
        <w:rPr>
          <w:rFonts w:hint="eastAsia"/>
          <w:szCs w:val="21"/>
        </w:rPr>
        <w:t>算</w:t>
      </w:r>
      <w:r w:rsidRPr="00D047A9">
        <w:rPr>
          <w:rFonts w:hint="eastAsia"/>
          <w:szCs w:val="21"/>
        </w:rPr>
        <w:t>方法规定了要求。</w:t>
      </w:r>
    </w:p>
    <w:p w:rsidR="0029329D" w:rsidRDefault="0029329D" w:rsidP="0029329D">
      <w:pPr>
        <w:spacing w:line="440" w:lineRule="exact"/>
        <w:ind w:firstLineChars="200" w:firstLine="420"/>
        <w:rPr>
          <w:szCs w:val="21"/>
        </w:rPr>
      </w:pPr>
      <w:r w:rsidRPr="00D047A9">
        <w:rPr>
          <w:rFonts w:hint="eastAsia"/>
          <w:szCs w:val="21"/>
        </w:rPr>
        <w:t>本</w:t>
      </w:r>
      <w:r>
        <w:rPr>
          <w:rFonts w:hint="eastAsia"/>
          <w:szCs w:val="21"/>
        </w:rPr>
        <w:t>标准为</w:t>
      </w:r>
      <w:r w:rsidRPr="0029329D">
        <w:rPr>
          <w:rFonts w:hint="eastAsia"/>
          <w:szCs w:val="21"/>
        </w:rPr>
        <w:t>汽车售后零部件</w:t>
      </w:r>
      <w:r>
        <w:rPr>
          <w:rFonts w:hint="eastAsia"/>
          <w:szCs w:val="21"/>
        </w:rPr>
        <w:t>服务品牌价值测算</w:t>
      </w:r>
      <w:r w:rsidRPr="00D047A9">
        <w:rPr>
          <w:rFonts w:hint="eastAsia"/>
          <w:szCs w:val="21"/>
        </w:rPr>
        <w:t>规定</w:t>
      </w:r>
      <w:r>
        <w:rPr>
          <w:rFonts w:hint="eastAsia"/>
          <w:szCs w:val="21"/>
        </w:rPr>
        <w:t>测算模型、测算指标、计算方法、测算过程等</w:t>
      </w:r>
      <w:r w:rsidRPr="00D047A9">
        <w:rPr>
          <w:rFonts w:hint="eastAsia"/>
          <w:szCs w:val="21"/>
        </w:rPr>
        <w:t>。</w:t>
      </w:r>
    </w:p>
    <w:p w:rsidR="0029329D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本标准适用于中国汽车流通协会从事</w:t>
      </w:r>
      <w:r w:rsidRPr="0029329D">
        <w:rPr>
          <w:rFonts w:hint="eastAsia"/>
          <w:szCs w:val="21"/>
        </w:rPr>
        <w:t>汽车售后零部件</w:t>
      </w:r>
      <w:r>
        <w:rPr>
          <w:rFonts w:hint="eastAsia"/>
          <w:szCs w:val="21"/>
        </w:rPr>
        <w:t>服务的相关企业开展品牌价值评价，可用于自我评价，也可作为第三方进行品牌价值评价依据，其他相关企业可参照执行。</w:t>
      </w:r>
    </w:p>
    <w:p w:rsidR="0029329D" w:rsidRPr="00851986" w:rsidRDefault="0029329D" w:rsidP="00796F6A">
      <w:pPr>
        <w:pStyle w:val="1"/>
        <w:spacing w:beforeLines="50" w:before="156" w:after="0" w:line="240" w:lineRule="auto"/>
        <w:jc w:val="left"/>
        <w:rPr>
          <w:rFonts w:ascii="黑体" w:eastAsia="黑体"/>
          <w:b w:val="0"/>
          <w:sz w:val="24"/>
          <w:szCs w:val="24"/>
        </w:rPr>
      </w:pPr>
      <w:bookmarkStart w:id="4" w:name="_Toc377116677"/>
      <w:r w:rsidRPr="00851986">
        <w:rPr>
          <w:rFonts w:ascii="黑体" w:eastAsia="黑体" w:hint="eastAsia"/>
          <w:b w:val="0"/>
          <w:sz w:val="24"/>
          <w:szCs w:val="24"/>
        </w:rPr>
        <w:t>2  规范性引用文件</w:t>
      </w:r>
      <w:bookmarkEnd w:id="4"/>
    </w:p>
    <w:p w:rsidR="0029329D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29329D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GB/T29185 </w:t>
      </w:r>
      <w:r>
        <w:rPr>
          <w:rFonts w:hint="eastAsia"/>
          <w:szCs w:val="21"/>
        </w:rPr>
        <w:t>《品牌价值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术语》</w:t>
      </w:r>
    </w:p>
    <w:p w:rsidR="0029329D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GB/T29186 </w:t>
      </w:r>
      <w:r>
        <w:rPr>
          <w:rFonts w:hint="eastAsia"/>
          <w:szCs w:val="21"/>
        </w:rPr>
        <w:t>《品牌价值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要素》</w:t>
      </w:r>
    </w:p>
    <w:p w:rsidR="0029329D" w:rsidRPr="00851986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GB/T29187 </w:t>
      </w:r>
      <w:r>
        <w:rPr>
          <w:rFonts w:hint="eastAsia"/>
          <w:szCs w:val="21"/>
        </w:rPr>
        <w:t>《品牌价值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品牌价值评价要求》</w:t>
      </w:r>
    </w:p>
    <w:p w:rsidR="0029329D" w:rsidRPr="00AB642E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GB/T29188 </w:t>
      </w:r>
      <w:r>
        <w:rPr>
          <w:rFonts w:hint="eastAsia"/>
          <w:szCs w:val="21"/>
        </w:rPr>
        <w:t>《品牌价值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多周期超额收益法》</w:t>
      </w:r>
    </w:p>
    <w:p w:rsidR="0029329D" w:rsidRPr="00851986" w:rsidRDefault="0029329D" w:rsidP="00796F6A">
      <w:pPr>
        <w:pStyle w:val="1"/>
        <w:spacing w:beforeLines="50" w:before="156" w:after="0" w:line="240" w:lineRule="auto"/>
        <w:jc w:val="left"/>
        <w:rPr>
          <w:rFonts w:ascii="黑体" w:eastAsia="黑体"/>
          <w:b w:val="0"/>
          <w:sz w:val="24"/>
          <w:szCs w:val="24"/>
        </w:rPr>
      </w:pPr>
      <w:bookmarkStart w:id="5" w:name="_Toc377116678"/>
      <w:r w:rsidRPr="00851986">
        <w:rPr>
          <w:rFonts w:ascii="黑体" w:eastAsia="黑体" w:hint="eastAsia"/>
          <w:b w:val="0"/>
          <w:sz w:val="24"/>
          <w:szCs w:val="24"/>
        </w:rPr>
        <w:t>3  术语和定义</w:t>
      </w:r>
      <w:bookmarkEnd w:id="5"/>
    </w:p>
    <w:p w:rsidR="0029329D" w:rsidRPr="00A77A1D" w:rsidRDefault="0029329D" w:rsidP="0029329D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GB/T29185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GB/T29186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GB/T29187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GB/T29188</w:t>
      </w:r>
      <w:r>
        <w:rPr>
          <w:rFonts w:hint="eastAsia"/>
          <w:szCs w:val="21"/>
        </w:rPr>
        <w:t>中界定的术语和定义适用于本标准。</w:t>
      </w:r>
    </w:p>
    <w:p w:rsidR="0029329D" w:rsidRPr="00851986" w:rsidRDefault="0029329D" w:rsidP="00796F6A">
      <w:pPr>
        <w:pStyle w:val="1"/>
        <w:spacing w:beforeLines="50" w:before="156" w:after="0" w:line="240" w:lineRule="auto"/>
        <w:jc w:val="left"/>
        <w:rPr>
          <w:rFonts w:ascii="黑体" w:eastAsia="黑体"/>
          <w:b w:val="0"/>
          <w:sz w:val="24"/>
          <w:szCs w:val="24"/>
        </w:rPr>
      </w:pPr>
      <w:bookmarkStart w:id="6" w:name="_Toc377116679"/>
      <w:r w:rsidRPr="00851986">
        <w:rPr>
          <w:rFonts w:ascii="黑体" w:eastAsia="黑体" w:hint="eastAsia"/>
          <w:b w:val="0"/>
          <w:sz w:val="24"/>
          <w:szCs w:val="24"/>
        </w:rPr>
        <w:t xml:space="preserve">4  </w:t>
      </w:r>
      <w:r w:rsidRPr="0029329D">
        <w:rPr>
          <w:rFonts w:ascii="黑体" w:eastAsia="黑体" w:hint="eastAsia"/>
          <w:b w:val="0"/>
          <w:sz w:val="24"/>
          <w:szCs w:val="24"/>
        </w:rPr>
        <w:t>汽车售后零部件</w:t>
      </w:r>
      <w:r>
        <w:rPr>
          <w:rFonts w:ascii="黑体" w:eastAsia="黑体" w:hint="eastAsia"/>
          <w:b w:val="0"/>
          <w:sz w:val="24"/>
          <w:szCs w:val="24"/>
        </w:rPr>
        <w:t>服务</w:t>
      </w:r>
      <w:r w:rsidRPr="00851986">
        <w:rPr>
          <w:rFonts w:ascii="黑体" w:eastAsia="黑体" w:hint="eastAsia"/>
          <w:b w:val="0"/>
          <w:sz w:val="24"/>
          <w:szCs w:val="24"/>
        </w:rPr>
        <w:t>品牌价值测算模型</w:t>
      </w:r>
      <w:bookmarkEnd w:id="6"/>
    </w:p>
    <w:p w:rsidR="0029329D" w:rsidRPr="00851986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r w:rsidRPr="00851986">
        <w:rPr>
          <w:rFonts w:ascii="宋体" w:hAnsi="宋体" w:hint="eastAsia"/>
          <w:sz w:val="21"/>
          <w:szCs w:val="21"/>
        </w:rPr>
        <w:t xml:space="preserve">   </w:t>
      </w:r>
      <w:bookmarkStart w:id="7" w:name="_Toc377116680"/>
      <w:r w:rsidRPr="00851986">
        <w:rPr>
          <w:rFonts w:ascii="宋体" w:hAnsi="宋体" w:hint="eastAsia"/>
          <w:sz w:val="21"/>
          <w:szCs w:val="21"/>
        </w:rPr>
        <w:t>4.1多周期超额收益法模型</w:t>
      </w:r>
      <w:bookmarkEnd w:id="7"/>
    </w:p>
    <w:p w:rsidR="0029329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本标准中所使用的有关技术参数及其符号参见附录A。</w:t>
      </w:r>
    </w:p>
    <w:p w:rsidR="0029329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基于多周期超额收益法的企业或企业集团品牌价值按式（1）计算：</w:t>
      </w:r>
    </w:p>
    <w:p w:rsidR="0029329D" w:rsidRDefault="0029329D" w:rsidP="0029329D">
      <w:pPr>
        <w:spacing w:line="360" w:lineRule="auto"/>
        <w:ind w:leftChars="200" w:left="420"/>
        <w:jc w:val="center"/>
        <w:rPr>
          <w:rFonts w:ascii="宋体" w:hAnsi="宋体"/>
          <w:b/>
          <w:sz w:val="28"/>
          <w:szCs w:val="28"/>
        </w:rPr>
      </w:pPr>
      <w:r w:rsidRPr="002F47C6">
        <w:rPr>
          <w:rFonts w:ascii="宋体" w:hAnsi="宋体"/>
          <w:b/>
          <w:position w:val="-28"/>
          <w:sz w:val="28"/>
          <w:szCs w:val="28"/>
        </w:rPr>
        <w:object w:dxaOrig="3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5pt;height:37.5pt" o:ole="">
            <v:imagedata r:id="rId6" o:title=""/>
          </v:shape>
          <o:OLEObject Type="Embed" ProgID="Equation.DSMT4" ShapeID="_x0000_i1025" DrawAspect="Content" ObjectID="_1569943989" r:id="rId7"/>
        </w:objec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(1)</w:t>
      </w:r>
    </w:p>
    <w:p w:rsidR="0029329D" w:rsidRPr="009A2AE4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9A2AE4">
        <w:rPr>
          <w:rFonts w:ascii="宋体" w:hAnsi="宋体" w:hint="eastAsia"/>
          <w:szCs w:val="21"/>
        </w:rPr>
        <w:t>式中：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A77A1D">
        <w:rPr>
          <w:rFonts w:ascii="宋体" w:hAnsi="宋体"/>
          <w:szCs w:val="21"/>
        </w:rPr>
        <w:object w:dxaOrig="279" w:dyaOrig="360">
          <v:shape id="_x0000_i1026" type="#_x0000_t75" style="width:13.5pt;height:18.5pt" o:ole="">
            <v:imagedata r:id="rId8" o:title=""/>
          </v:shape>
          <o:OLEObject Type="Embed" ProgID="Unknown" ShapeID="_x0000_i1026" DrawAspect="Content" ObjectID="_1569943990" r:id="rId9"/>
        </w:object>
      </w:r>
      <w:r w:rsidRPr="00A77A1D">
        <w:rPr>
          <w:rFonts w:ascii="宋体" w:hAnsi="宋体" w:hint="eastAsia"/>
          <w:szCs w:val="21"/>
        </w:rPr>
        <w:t>——品牌价值；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F</w:t>
      </w:r>
      <w:r w:rsidRPr="00851986">
        <w:rPr>
          <w:rFonts w:ascii="宋体" w:hAnsi="宋体" w:hint="eastAsia"/>
          <w:i/>
          <w:szCs w:val="21"/>
          <w:vertAlign w:val="subscript"/>
        </w:rPr>
        <w:t>BC, t</w:t>
      </w:r>
      <w:r w:rsidRPr="00A77A1D">
        <w:rPr>
          <w:rFonts w:ascii="宋体" w:hAnsi="宋体" w:hint="eastAsia"/>
          <w:szCs w:val="21"/>
        </w:rPr>
        <w:fldChar w:fldCharType="begin"/>
      </w:r>
      <w:r w:rsidRPr="00A77A1D">
        <w:rPr>
          <w:rFonts w:ascii="宋体" w:hAnsi="宋体" w:hint="eastAsia"/>
          <w:szCs w:val="21"/>
        </w:rPr>
        <w:instrText xml:space="preserve"> QUOTE </w:instrText>
      </w:r>
      <m:oMath>
        <m:sSub>
          <m:sSubPr>
            <m:ctrlPr>
              <w:rPr>
                <w:rFonts w:ascii="Cambria Math" w:eastAsia="方正仿宋简体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方正仿宋简体" w:hAnsi="Cambria Math"/>
                <w:sz w:val="32"/>
                <w:szCs w:val="32"/>
              </w:rPr>
              <m:t>BCF</m:t>
            </m:r>
          </m:e>
          <m:sub>
            <m:r>
              <m:rPr>
                <m:sty m:val="p"/>
              </m:rPr>
              <w:rPr>
                <w:rFonts w:ascii="Cambria Math" w:eastAsia="方正仿宋简体" w:hAnsi="Cambria Math"/>
                <w:sz w:val="32"/>
                <w:szCs w:val="32"/>
              </w:rPr>
              <m:t>t</m:t>
            </m:r>
          </m:sub>
        </m:sSub>
      </m:oMath>
      <w:r w:rsidRPr="00A77A1D">
        <w:rPr>
          <w:rFonts w:ascii="宋体" w:hAnsi="宋体" w:hint="eastAsia"/>
          <w:szCs w:val="21"/>
        </w:rPr>
        <w:instrText xml:space="preserve"> </w:instrText>
      </w:r>
      <w:r w:rsidRPr="00A77A1D">
        <w:rPr>
          <w:rFonts w:ascii="宋体" w:hAnsi="宋体" w:hint="eastAsia"/>
          <w:szCs w:val="21"/>
        </w:rPr>
        <w:fldChar w:fldCharType="end"/>
      </w:r>
      <w:r w:rsidRPr="00A77A1D">
        <w:rPr>
          <w:rFonts w:ascii="宋体" w:hAnsi="宋体" w:hint="eastAsia"/>
          <w:szCs w:val="21"/>
        </w:rPr>
        <w:t>——</w:t>
      </w:r>
      <w:r w:rsidRPr="00851986">
        <w:rPr>
          <w:rFonts w:ascii="宋体" w:hAnsi="宋体" w:hint="eastAsia"/>
          <w:i/>
          <w:szCs w:val="21"/>
        </w:rPr>
        <w:t>t</w:t>
      </w:r>
      <w:r w:rsidRPr="00A77A1D">
        <w:rPr>
          <w:rFonts w:ascii="宋体" w:hAnsi="宋体" w:hint="eastAsia"/>
          <w:szCs w:val="21"/>
        </w:rPr>
        <w:t xml:space="preserve">年度品牌现金流； 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F</w:t>
      </w:r>
      <w:r w:rsidRPr="00851986">
        <w:rPr>
          <w:rFonts w:ascii="宋体" w:hAnsi="宋体" w:hint="eastAsia"/>
          <w:i/>
          <w:szCs w:val="21"/>
          <w:vertAlign w:val="subscript"/>
        </w:rPr>
        <w:t>BC, T</w:t>
      </w:r>
      <w:r w:rsidRPr="00A77A1D">
        <w:rPr>
          <w:rFonts w:ascii="宋体" w:hAnsi="宋体" w:hint="eastAsia"/>
          <w:szCs w:val="21"/>
          <w:vertAlign w:val="subscript"/>
        </w:rPr>
        <w:t>+1</w:t>
      </w:r>
      <w:r w:rsidRPr="00A77A1D">
        <w:rPr>
          <w:rFonts w:ascii="宋体" w:hAnsi="宋体" w:hint="eastAsia"/>
          <w:szCs w:val="21"/>
        </w:rPr>
        <w:t>——</w:t>
      </w:r>
      <w:r w:rsidRPr="00851986">
        <w:rPr>
          <w:rFonts w:ascii="宋体" w:hAnsi="宋体" w:hint="eastAsia"/>
          <w:i/>
          <w:szCs w:val="21"/>
        </w:rPr>
        <w:t>T</w:t>
      </w:r>
      <w:r w:rsidRPr="00A77A1D">
        <w:rPr>
          <w:rFonts w:ascii="宋体" w:hAnsi="宋体" w:hint="eastAsia"/>
          <w:szCs w:val="21"/>
        </w:rPr>
        <w:t>+1年度品牌现金流；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T</w:t>
      </w:r>
      <w:r w:rsidRPr="00A77A1D">
        <w:rPr>
          <w:rFonts w:ascii="宋体" w:hAnsi="宋体" w:hint="eastAsia"/>
          <w:szCs w:val="21"/>
        </w:rPr>
        <w:t>——高速增长时期，根据行业特点，一般为3至5年；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R</w:t>
      </w:r>
      <w:r w:rsidRPr="00A77A1D">
        <w:rPr>
          <w:rFonts w:ascii="宋体" w:hAnsi="宋体" w:hint="eastAsia"/>
          <w:szCs w:val="21"/>
        </w:rPr>
        <w:t>——品牌价值折现率；</w:t>
      </w:r>
    </w:p>
    <w:p w:rsidR="0029329D" w:rsidRPr="00A77A1D" w:rsidRDefault="0029329D" w:rsidP="0029329D">
      <w:pPr>
        <w:spacing w:line="360" w:lineRule="auto"/>
        <w:ind w:leftChars="200" w:left="420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lastRenderedPageBreak/>
        <w:t>g</w:t>
      </w:r>
      <w:r w:rsidRPr="00A77A1D">
        <w:rPr>
          <w:rFonts w:ascii="宋体" w:hAnsi="宋体" w:hint="eastAsia"/>
          <w:szCs w:val="21"/>
        </w:rPr>
        <w:t>——永续增长率，可采用长期预期通货膨胀率。</w:t>
      </w:r>
    </w:p>
    <w:p w:rsidR="0029329D" w:rsidRPr="00A15E76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8" w:name="_Toc338072178"/>
      <w:bookmarkStart w:id="9" w:name="_Toc377116681"/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.2品牌现金</w:t>
      </w:r>
      <w:r>
        <w:rPr>
          <w:rFonts w:ascii="宋体" w:hAnsi="宋体" w:hint="eastAsia"/>
          <w:sz w:val="21"/>
          <w:szCs w:val="21"/>
        </w:rPr>
        <w:t>流的确定</w:t>
      </w:r>
      <w:bookmarkEnd w:id="8"/>
      <w:bookmarkEnd w:id="9"/>
    </w:p>
    <w:p w:rsidR="0029329D" w:rsidRPr="001B159A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1B159A">
        <w:rPr>
          <w:rFonts w:ascii="宋体" w:hAnsi="宋体" w:hint="eastAsia"/>
          <w:sz w:val="21"/>
          <w:szCs w:val="21"/>
        </w:rPr>
        <w:t>.2.1 品牌现金流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95063E">
        <w:rPr>
          <w:rFonts w:ascii="宋体" w:hAnsi="宋体" w:hint="eastAsia"/>
          <w:szCs w:val="21"/>
        </w:rPr>
        <w:t>每年的品牌</w:t>
      </w:r>
      <w:r>
        <w:rPr>
          <w:rFonts w:ascii="宋体" w:hAnsi="宋体" w:hint="eastAsia"/>
          <w:szCs w:val="21"/>
        </w:rPr>
        <w:t>现金流</w:t>
      </w:r>
      <w:r w:rsidRPr="00851986">
        <w:rPr>
          <w:rFonts w:hint="eastAsia"/>
          <w:i/>
        </w:rPr>
        <w:t>F</w:t>
      </w:r>
      <w:r w:rsidRPr="00851986">
        <w:rPr>
          <w:rFonts w:hint="eastAsia"/>
          <w:i/>
          <w:vertAlign w:val="subscript"/>
        </w:rPr>
        <w:t>BC</w:t>
      </w:r>
      <w:r>
        <w:rPr>
          <w:rFonts w:ascii="宋体" w:hAnsi="宋体" w:hint="eastAsia"/>
          <w:szCs w:val="21"/>
        </w:rPr>
        <w:t>按式（2）计算：</w:t>
      </w:r>
    </w:p>
    <w:p w:rsidR="0029329D" w:rsidRPr="0095063E" w:rsidRDefault="0029329D" w:rsidP="0029329D">
      <w:pPr>
        <w:spacing w:line="360" w:lineRule="auto"/>
        <w:ind w:firstLineChars="202" w:firstLine="424"/>
        <w:jc w:val="center"/>
        <w:rPr>
          <w:rFonts w:ascii="宋体" w:hAnsi="宋体"/>
          <w:szCs w:val="21"/>
        </w:rPr>
      </w:pPr>
      <w:r w:rsidRPr="000B597E">
        <w:rPr>
          <w:position w:val="-12"/>
        </w:rPr>
        <w:object w:dxaOrig="1880" w:dyaOrig="360">
          <v:shape id="_x0000_i1027" type="#_x0000_t75" style="width:94.5pt;height:18.5pt" o:ole="">
            <v:imagedata r:id="rId10" o:title=""/>
          </v:shape>
          <o:OLEObject Type="Embed" ProgID="Unknown" ShapeID="_x0000_i1027" DrawAspect="Content" ObjectID="_1569943991" r:id="rId11"/>
        </w:objec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2</w:t>
      </w:r>
      <w:r w:rsidRPr="00C62101">
        <w:rPr>
          <w:rFonts w:ascii="宋体" w:hAnsi="宋体" w:hint="eastAsia"/>
          <w:szCs w:val="21"/>
        </w:rPr>
        <w:t>)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</w:t>
      </w:r>
      <w:r w:rsidRPr="0095063E">
        <w:rPr>
          <w:rFonts w:ascii="宋体" w:hAnsi="宋体" w:hint="eastAsia"/>
          <w:szCs w:val="21"/>
        </w:rPr>
        <w:t>中：</w:t>
      </w:r>
    </w:p>
    <w:p w:rsidR="0029329D" w:rsidRPr="009A2AE4" w:rsidRDefault="0029329D" w:rsidP="0029329D">
      <w:pPr>
        <w:ind w:firstLineChars="202" w:firstLine="424"/>
      </w:pPr>
      <w:r w:rsidRPr="00851986">
        <w:rPr>
          <w:rFonts w:hint="eastAsia"/>
          <w:i/>
        </w:rPr>
        <w:t>F</w:t>
      </w:r>
      <w:r w:rsidRPr="00851986">
        <w:rPr>
          <w:rFonts w:hint="eastAsia"/>
          <w:i/>
          <w:vertAlign w:val="subscript"/>
        </w:rPr>
        <w:t>BC</w:t>
      </w:r>
      <w:r w:rsidRPr="009A2AE4">
        <w:rPr>
          <w:rFonts w:hint="eastAsia"/>
        </w:rPr>
        <w:fldChar w:fldCharType="begin"/>
      </w:r>
      <w:r w:rsidRPr="009A2AE4">
        <w:rPr>
          <w:rFonts w:hint="eastAsia"/>
        </w:rPr>
        <w:instrText xml:space="preserve"> QUOTE </w:instrText>
      </w:r>
      <m:oMath>
        <m:sSub>
          <m:sSubPr>
            <m:ctrlPr>
              <w:rPr>
                <w:rFonts w:ascii="Cambria Math" w:eastAsia="方正仿宋简体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="方正仿宋简体" w:hAnsi="Cambria Math"/>
                <w:sz w:val="32"/>
                <w:szCs w:val="32"/>
              </w:rPr>
              <m:t>BCF</m:t>
            </m:r>
          </m:e>
          <m:sub>
            <m:r>
              <m:rPr>
                <m:sty m:val="p"/>
              </m:rPr>
              <w:rPr>
                <w:rFonts w:ascii="Cambria Math" w:eastAsia="方正仿宋简体" w:hAnsi="Cambria Math"/>
                <w:sz w:val="32"/>
                <w:szCs w:val="32"/>
              </w:rPr>
              <m:t>t</m:t>
            </m:r>
          </m:sub>
        </m:sSub>
      </m:oMath>
      <w:r w:rsidRPr="009A2AE4">
        <w:rPr>
          <w:rFonts w:hint="eastAsia"/>
        </w:rPr>
        <w:instrText xml:space="preserve"> </w:instrText>
      </w:r>
      <w:r w:rsidRPr="009A2AE4">
        <w:rPr>
          <w:rFonts w:hint="eastAsia"/>
        </w:rPr>
        <w:fldChar w:fldCharType="end"/>
      </w:r>
      <w:r w:rsidRPr="009A2AE4">
        <w:rPr>
          <w:rFonts w:hint="eastAsia"/>
        </w:rPr>
        <w:t>——</w:t>
      </w:r>
      <w:r>
        <w:rPr>
          <w:rFonts w:hint="eastAsia"/>
        </w:rPr>
        <w:t>当年度</w:t>
      </w:r>
      <w:r w:rsidRPr="009A2AE4">
        <w:rPr>
          <w:rFonts w:hint="eastAsia"/>
        </w:rPr>
        <w:t>品牌现金</w:t>
      </w:r>
      <w:r>
        <w:rPr>
          <w:rFonts w:hint="eastAsia"/>
        </w:rPr>
        <w:t>流</w:t>
      </w:r>
      <w:r w:rsidRPr="009A2AE4">
        <w:rPr>
          <w:rFonts w:hint="eastAsia"/>
        </w:rPr>
        <w:t>；</w:t>
      </w:r>
      <w:r w:rsidRPr="009A2AE4">
        <w:rPr>
          <w:rFonts w:hint="eastAsia"/>
        </w:rPr>
        <w:t xml:space="preserve"> 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851986">
        <w:rPr>
          <w:rFonts w:hint="eastAsia"/>
          <w:i/>
        </w:rPr>
        <w:t>P</w:t>
      </w:r>
      <w:r w:rsidRPr="00851986">
        <w:rPr>
          <w:rFonts w:hint="eastAsia"/>
          <w:i/>
          <w:vertAlign w:val="subscript"/>
        </w:rPr>
        <w:t>A</w:t>
      </w:r>
      <w:r w:rsidRPr="009A2AE4">
        <w:rPr>
          <w:rFonts w:cs="宋体" w:hint="eastAsia"/>
        </w:rPr>
        <w:t>——</w:t>
      </w:r>
      <w:r>
        <w:rPr>
          <w:rFonts w:cs="宋体" w:hint="eastAsia"/>
        </w:rPr>
        <w:t>当年度调整后的</w:t>
      </w:r>
      <w:r w:rsidRPr="0095063E">
        <w:rPr>
          <w:rFonts w:ascii="宋体" w:hAnsi="宋体" w:hint="eastAsia"/>
          <w:szCs w:val="21"/>
        </w:rPr>
        <w:t>企业净利润</w:t>
      </w:r>
      <w:r>
        <w:rPr>
          <w:rFonts w:ascii="宋体" w:hAnsi="宋体" w:hint="eastAsia"/>
          <w:szCs w:val="21"/>
        </w:rPr>
        <w:t>，适用时考虑非经常性经营项目影响；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851986">
        <w:rPr>
          <w:rFonts w:hint="eastAsia"/>
          <w:i/>
        </w:rPr>
        <w:t>I</w:t>
      </w:r>
      <w:r w:rsidRPr="00851986">
        <w:rPr>
          <w:rFonts w:hint="eastAsia"/>
          <w:i/>
          <w:vertAlign w:val="subscript"/>
        </w:rPr>
        <w:t>A</w:t>
      </w:r>
      <w:r w:rsidRPr="000230CB">
        <w:rPr>
          <w:rFonts w:ascii="宋体" w:hAnsi="宋体" w:hint="eastAsia"/>
          <w:szCs w:val="21"/>
        </w:rPr>
        <w:t>——</w:t>
      </w:r>
      <w:r>
        <w:rPr>
          <w:rFonts w:ascii="宋体" w:hAnsi="宋体" w:hint="eastAsia"/>
          <w:szCs w:val="21"/>
        </w:rPr>
        <w:t>当年度企业</w:t>
      </w:r>
      <w:r w:rsidRPr="0095063E">
        <w:rPr>
          <w:rFonts w:ascii="宋体" w:hAnsi="宋体" w:hint="eastAsia"/>
          <w:szCs w:val="21"/>
        </w:rPr>
        <w:t>有形资产收益</w:t>
      </w:r>
      <w:r>
        <w:rPr>
          <w:rFonts w:ascii="宋体" w:hAnsi="宋体" w:hint="eastAsia"/>
          <w:szCs w:val="21"/>
        </w:rPr>
        <w:t>；</w:t>
      </w:r>
    </w:p>
    <w:p w:rsidR="0029329D" w:rsidRDefault="0029329D" w:rsidP="0029329D">
      <w:pPr>
        <w:spacing w:line="360" w:lineRule="auto"/>
        <w:ind w:firstLineChars="202" w:firstLine="424"/>
      </w:pPr>
      <w:r>
        <w:object w:dxaOrig="240" w:dyaOrig="320">
          <v:shape id="_x0000_i1028" type="#_x0000_t75" style="width:12pt;height:16.5pt" o:ole="">
            <v:imagedata r:id="rId12" o:title=""/>
          </v:shape>
          <o:OLEObject Type="Embed" ProgID="Unknown" ShapeID="_x0000_i1028" DrawAspect="Content" ObjectID="_1569943992" r:id="rId13"/>
        </w:object>
      </w:r>
      <w:r>
        <w:rPr>
          <w:rFonts w:hint="eastAsia"/>
        </w:rPr>
        <w:t>――企业无形资产收益中归因于品牌部分的比例</w:t>
      </w:r>
      <w:r w:rsidRPr="0042763A">
        <w:rPr>
          <w:rFonts w:hint="eastAsia"/>
        </w:rPr>
        <w:t>系数</w:t>
      </w:r>
      <w:r>
        <w:rPr>
          <w:rFonts w:hint="eastAsia"/>
        </w:rPr>
        <w:t>。</w:t>
      </w:r>
    </w:p>
    <w:p w:rsidR="0029329D" w:rsidRPr="00337563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hint="eastAsia"/>
        </w:rPr>
        <w:t>预测高速增长期及更远期的品牌现金流时，可采用将评价基准年前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年品牌现金流加权平均等方法进行预测。</w:t>
      </w:r>
    </w:p>
    <w:p w:rsidR="0029329D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.2.</w:t>
      </w:r>
      <w:r>
        <w:rPr>
          <w:rFonts w:ascii="宋体" w:hAnsi="宋体" w:hint="eastAsia"/>
          <w:sz w:val="21"/>
          <w:szCs w:val="21"/>
        </w:rPr>
        <w:t>2</w:t>
      </w:r>
      <w:r w:rsidRPr="00A15E76">
        <w:rPr>
          <w:rFonts w:ascii="宋体" w:hAnsi="宋体" w:hint="eastAsia"/>
          <w:sz w:val="21"/>
          <w:szCs w:val="21"/>
        </w:rPr>
        <w:t xml:space="preserve"> 有形资产收益</w:t>
      </w:r>
      <w:r>
        <w:rPr>
          <w:rFonts w:ascii="宋体" w:hAnsi="宋体" w:hint="eastAsia"/>
          <w:sz w:val="21"/>
          <w:szCs w:val="21"/>
        </w:rPr>
        <w:t>的确定</w:t>
      </w:r>
    </w:p>
    <w:p w:rsidR="0029329D" w:rsidRPr="00250869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250869">
        <w:rPr>
          <w:rFonts w:ascii="宋体" w:hAnsi="宋体" w:hint="eastAsia"/>
          <w:sz w:val="21"/>
          <w:szCs w:val="21"/>
        </w:rPr>
        <w:t>.2.2.1</w:t>
      </w:r>
      <w:r>
        <w:rPr>
          <w:rFonts w:ascii="宋体" w:hAnsi="宋体" w:hint="eastAsia"/>
          <w:sz w:val="21"/>
          <w:szCs w:val="21"/>
        </w:rPr>
        <w:t xml:space="preserve"> 有形资产收益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95063E">
        <w:rPr>
          <w:rFonts w:ascii="宋体" w:hAnsi="宋体" w:hint="eastAsia"/>
          <w:szCs w:val="21"/>
        </w:rPr>
        <w:t>有形资产收益</w:t>
      </w:r>
      <w:r>
        <w:rPr>
          <w:rFonts w:ascii="宋体" w:hAnsi="宋体" w:hint="eastAsia"/>
          <w:szCs w:val="21"/>
        </w:rPr>
        <w:t>应按式（3）计算：</w:t>
      </w:r>
    </w:p>
    <w:p w:rsidR="0029329D" w:rsidRDefault="0029329D" w:rsidP="0029329D">
      <w:pPr>
        <w:spacing w:line="360" w:lineRule="auto"/>
        <w:ind w:firstLineChars="202" w:firstLine="424"/>
        <w:jc w:val="center"/>
        <w:rPr>
          <w:rFonts w:ascii="宋体" w:hAnsi="宋体"/>
          <w:szCs w:val="21"/>
        </w:rPr>
      </w:pPr>
      <w:r>
        <w:object w:dxaOrig="2820" w:dyaOrig="360">
          <v:shape id="_x0000_i1029" type="#_x0000_t75" style="width:141pt;height:18.5pt" o:ole="">
            <v:imagedata r:id="rId14" o:title=""/>
          </v:shape>
          <o:OLEObject Type="Embed" ProgID="Unknown" ShapeID="_x0000_i1029" DrawAspect="Content" ObjectID="_1569943993" r:id="rId15"/>
        </w:object>
      </w:r>
      <w:r>
        <w:rPr>
          <w:rFonts w:hint="eastAsia"/>
        </w:rPr>
        <w:t xml:space="preserve">         </w: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3</w:t>
      </w:r>
      <w:r w:rsidRPr="00C62101">
        <w:rPr>
          <w:rFonts w:ascii="宋体" w:hAnsi="宋体" w:hint="eastAsia"/>
          <w:szCs w:val="21"/>
        </w:rPr>
        <w:t>)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I</w:t>
      </w:r>
      <w:r w:rsidRPr="00851986">
        <w:rPr>
          <w:rFonts w:ascii="宋体" w:hAnsi="宋体" w:hint="eastAsia"/>
          <w:i/>
          <w:szCs w:val="21"/>
          <w:vertAlign w:val="subscript"/>
        </w:rPr>
        <w:t>A</w:t>
      </w:r>
      <w:r>
        <w:rPr>
          <w:rFonts w:cs="宋体" w:hint="eastAsia"/>
        </w:rPr>
        <w:t>――</w:t>
      </w:r>
      <w:r w:rsidRPr="0095063E">
        <w:rPr>
          <w:rFonts w:ascii="宋体" w:hAnsi="宋体" w:hint="eastAsia"/>
          <w:szCs w:val="21"/>
        </w:rPr>
        <w:t>有形资产收益</w:t>
      </w:r>
      <w:r>
        <w:rPr>
          <w:rFonts w:ascii="宋体" w:hAnsi="宋体" w:hint="eastAsia"/>
          <w:szCs w:val="21"/>
        </w:rPr>
        <w:t>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A</w:t>
      </w:r>
      <w:r w:rsidRPr="00851986">
        <w:rPr>
          <w:rFonts w:ascii="宋体" w:hAnsi="宋体" w:hint="eastAsia"/>
          <w:i/>
          <w:szCs w:val="21"/>
          <w:vertAlign w:val="subscript"/>
        </w:rPr>
        <w:t>CT</w:t>
      </w:r>
      <w:r>
        <w:rPr>
          <w:rFonts w:cs="宋体" w:hint="eastAsia"/>
        </w:rPr>
        <w:t>――</w:t>
      </w:r>
      <w:r w:rsidRPr="0095063E">
        <w:rPr>
          <w:rFonts w:ascii="宋体" w:hAnsi="宋体" w:hint="eastAsia"/>
          <w:szCs w:val="21"/>
        </w:rPr>
        <w:t>流动有形资产总额</w:t>
      </w:r>
      <w:r>
        <w:rPr>
          <w:rFonts w:ascii="宋体" w:hAnsi="宋体" w:hint="eastAsia"/>
          <w:szCs w:val="21"/>
        </w:rPr>
        <w:t>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object w:dxaOrig="420" w:dyaOrig="360">
          <v:shape id="_x0000_i1030" type="#_x0000_t75" style="width:21pt;height:18.5pt" o:ole="">
            <v:imagedata r:id="rId16" o:title=""/>
          </v:shape>
          <o:OLEObject Type="Embed" ProgID="Unknown" ShapeID="_x0000_i1030" DrawAspect="Content" ObjectID="_1569943994" r:id="rId17"/>
        </w:object>
      </w:r>
      <w:r>
        <w:rPr>
          <w:rFonts w:cs="宋体" w:hint="eastAsia"/>
        </w:rPr>
        <w:t>――</w:t>
      </w:r>
      <w:r w:rsidRPr="0095063E">
        <w:rPr>
          <w:rFonts w:ascii="宋体" w:hAnsi="宋体" w:hint="eastAsia"/>
          <w:szCs w:val="21"/>
        </w:rPr>
        <w:t>流动有形资产</w:t>
      </w:r>
      <w:r>
        <w:rPr>
          <w:rFonts w:ascii="宋体" w:hAnsi="宋体" w:hint="eastAsia"/>
          <w:szCs w:val="21"/>
        </w:rPr>
        <w:t>投资报酬</w:t>
      </w:r>
      <w:r w:rsidRPr="0095063E">
        <w:rPr>
          <w:rFonts w:ascii="宋体" w:hAnsi="宋体" w:hint="eastAsia"/>
          <w:szCs w:val="21"/>
        </w:rPr>
        <w:t>率</w:t>
      </w:r>
      <w:r>
        <w:rPr>
          <w:rFonts w:ascii="宋体" w:hAnsi="宋体" w:hint="eastAsia"/>
          <w:szCs w:val="21"/>
        </w:rPr>
        <w:t>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851986">
        <w:rPr>
          <w:rFonts w:ascii="宋体" w:hAnsi="宋体" w:hint="eastAsia"/>
          <w:i/>
          <w:szCs w:val="21"/>
        </w:rPr>
        <w:t>A</w:t>
      </w:r>
      <w:r w:rsidRPr="00851986">
        <w:rPr>
          <w:rFonts w:ascii="宋体" w:hAnsi="宋体" w:hint="eastAsia"/>
          <w:i/>
          <w:szCs w:val="21"/>
          <w:vertAlign w:val="subscript"/>
        </w:rPr>
        <w:t>NCT</w:t>
      </w:r>
      <w:r>
        <w:rPr>
          <w:rFonts w:cs="宋体" w:hint="eastAsia"/>
        </w:rPr>
        <w:t>――</w:t>
      </w:r>
      <w:r w:rsidRPr="0095063E">
        <w:rPr>
          <w:rFonts w:ascii="宋体" w:hAnsi="宋体" w:hint="eastAsia"/>
          <w:szCs w:val="21"/>
        </w:rPr>
        <w:t>非流动有形资产总额</w:t>
      </w:r>
      <w:r>
        <w:rPr>
          <w:rFonts w:ascii="宋体" w:hAnsi="宋体" w:hint="eastAsia"/>
          <w:szCs w:val="21"/>
        </w:rPr>
        <w:t>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object w:dxaOrig="520" w:dyaOrig="360">
          <v:shape id="_x0000_i1031" type="#_x0000_t75" style="width:26pt;height:18.5pt" o:ole="">
            <v:imagedata r:id="rId18" o:title=""/>
          </v:shape>
          <o:OLEObject Type="Embed" ProgID="Unknown" ShapeID="_x0000_i1031" DrawAspect="Content" ObjectID="_1569943995" r:id="rId19"/>
        </w:object>
      </w:r>
      <w:r>
        <w:rPr>
          <w:rFonts w:cs="宋体" w:hint="eastAsia"/>
        </w:rPr>
        <w:t>――</w:t>
      </w:r>
      <w:r w:rsidRPr="0095063E">
        <w:rPr>
          <w:rFonts w:ascii="宋体" w:hAnsi="宋体" w:hint="eastAsia"/>
          <w:szCs w:val="21"/>
        </w:rPr>
        <w:t>非流动有形资产</w:t>
      </w:r>
      <w:r>
        <w:rPr>
          <w:rFonts w:ascii="宋体" w:hAnsi="宋体" w:hint="eastAsia"/>
          <w:szCs w:val="21"/>
        </w:rPr>
        <w:t>投资报酬</w:t>
      </w:r>
      <w:r w:rsidRPr="0095063E">
        <w:rPr>
          <w:rFonts w:ascii="宋体" w:hAnsi="宋体" w:hint="eastAsia"/>
          <w:szCs w:val="21"/>
        </w:rPr>
        <w:t>率</w:t>
      </w:r>
      <w:r>
        <w:rPr>
          <w:rFonts w:ascii="宋体" w:hAnsi="宋体" w:hint="eastAsia"/>
          <w:szCs w:val="21"/>
        </w:rPr>
        <w:t>。</w:t>
      </w:r>
    </w:p>
    <w:p w:rsidR="0029329D" w:rsidRPr="00A15E76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.2.</w:t>
      </w:r>
      <w:r>
        <w:rPr>
          <w:rFonts w:ascii="宋体" w:hAnsi="宋体" w:hint="eastAsia"/>
          <w:sz w:val="21"/>
          <w:szCs w:val="21"/>
        </w:rPr>
        <w:t>2</w:t>
      </w:r>
      <w:r w:rsidRPr="00A15E76">
        <w:rPr>
          <w:rFonts w:ascii="宋体" w:hAnsi="宋体" w:hint="eastAsia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2</w:t>
      </w:r>
      <w:r w:rsidRPr="00A15E76">
        <w:rPr>
          <w:rFonts w:ascii="宋体" w:hAnsi="宋体" w:hint="eastAsia"/>
          <w:sz w:val="21"/>
          <w:szCs w:val="21"/>
        </w:rPr>
        <w:t xml:space="preserve"> 流动有形资产收益率</w:t>
      </w:r>
    </w:p>
    <w:p w:rsidR="0029329D" w:rsidRPr="00C5084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47026C">
        <w:rPr>
          <w:rFonts w:ascii="宋体" w:hAnsi="宋体" w:hint="eastAsia"/>
          <w:szCs w:val="21"/>
        </w:rPr>
        <w:t>流动有形资产收益率可参照</w:t>
      </w:r>
      <w:r>
        <w:rPr>
          <w:rFonts w:ascii="宋体" w:hAnsi="宋体" w:hint="eastAsia"/>
          <w:szCs w:val="21"/>
        </w:rPr>
        <w:t>中国人民银行公布的</w:t>
      </w:r>
      <w:r w:rsidRPr="0047026C">
        <w:rPr>
          <w:rFonts w:ascii="宋体" w:hAnsi="宋体" w:hint="eastAsia"/>
          <w:szCs w:val="21"/>
        </w:rPr>
        <w:t>短期</w:t>
      </w:r>
      <w:r>
        <w:rPr>
          <w:rFonts w:ascii="宋体" w:hAnsi="宋体" w:hint="eastAsia"/>
          <w:szCs w:val="21"/>
        </w:rPr>
        <w:t>基准</w:t>
      </w:r>
      <w:r w:rsidRPr="006F7EE2">
        <w:rPr>
          <w:rFonts w:ascii="宋体" w:hAnsi="宋体" w:hint="eastAsia"/>
          <w:szCs w:val="21"/>
        </w:rPr>
        <w:t>贷款</w:t>
      </w:r>
      <w:r w:rsidRPr="0047026C">
        <w:rPr>
          <w:rFonts w:ascii="宋体" w:hAnsi="宋体" w:hint="eastAsia"/>
          <w:szCs w:val="21"/>
        </w:rPr>
        <w:t>利率进行计算，如1年期银行贷款</w:t>
      </w:r>
      <w:r>
        <w:rPr>
          <w:rFonts w:ascii="宋体" w:hAnsi="宋体" w:hint="eastAsia"/>
          <w:szCs w:val="21"/>
        </w:rPr>
        <w:t>基准</w:t>
      </w:r>
      <w:r w:rsidRPr="0047026C">
        <w:rPr>
          <w:rFonts w:ascii="宋体" w:hAnsi="宋体" w:hint="eastAsia"/>
          <w:szCs w:val="21"/>
        </w:rPr>
        <w:t>利率。</w:t>
      </w:r>
    </w:p>
    <w:p w:rsidR="0029329D" w:rsidRPr="00A15E76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.2.</w:t>
      </w:r>
      <w:r>
        <w:rPr>
          <w:rFonts w:ascii="宋体" w:hAnsi="宋体" w:hint="eastAsia"/>
          <w:sz w:val="21"/>
          <w:szCs w:val="21"/>
        </w:rPr>
        <w:t>2</w:t>
      </w:r>
      <w:r w:rsidRPr="00A15E76">
        <w:rPr>
          <w:rFonts w:ascii="宋体" w:hAnsi="宋体" w:hint="eastAsia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3</w:t>
      </w:r>
      <w:r w:rsidRPr="00A15E76">
        <w:rPr>
          <w:rFonts w:ascii="宋体" w:hAnsi="宋体" w:hint="eastAsia"/>
          <w:sz w:val="21"/>
          <w:szCs w:val="21"/>
        </w:rPr>
        <w:t xml:space="preserve"> 非流动有形资产收益率</w:t>
      </w:r>
    </w:p>
    <w:p w:rsidR="0029329D" w:rsidRPr="0047026C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47026C">
        <w:rPr>
          <w:rFonts w:ascii="宋体" w:hAnsi="宋体" w:hint="eastAsia"/>
          <w:szCs w:val="21"/>
        </w:rPr>
        <w:t>非流动有形资产收益率可参照</w:t>
      </w:r>
      <w:r>
        <w:rPr>
          <w:rFonts w:ascii="宋体" w:hAnsi="宋体" w:hint="eastAsia"/>
          <w:szCs w:val="21"/>
        </w:rPr>
        <w:t>中国人民银行公布的长</w:t>
      </w:r>
      <w:r w:rsidRPr="0047026C">
        <w:rPr>
          <w:rFonts w:ascii="宋体" w:hAnsi="宋体" w:hint="eastAsia"/>
          <w:szCs w:val="21"/>
        </w:rPr>
        <w:t>期</w:t>
      </w:r>
      <w:r>
        <w:rPr>
          <w:rFonts w:ascii="宋体" w:hAnsi="宋体" w:hint="eastAsia"/>
          <w:szCs w:val="21"/>
        </w:rPr>
        <w:t>基准</w:t>
      </w:r>
      <w:r w:rsidRPr="006F7EE2">
        <w:rPr>
          <w:rFonts w:ascii="宋体" w:hAnsi="宋体" w:hint="eastAsia"/>
          <w:szCs w:val="21"/>
        </w:rPr>
        <w:t>贷款</w:t>
      </w:r>
      <w:r w:rsidRPr="0047026C">
        <w:rPr>
          <w:rFonts w:ascii="宋体" w:hAnsi="宋体" w:hint="eastAsia"/>
          <w:szCs w:val="21"/>
        </w:rPr>
        <w:t>利率进行计算，如5</w:t>
      </w:r>
      <w:r w:rsidRPr="0047026C">
        <w:rPr>
          <w:rFonts w:ascii="宋体" w:hAnsi="宋体" w:hint="eastAsia"/>
          <w:szCs w:val="21"/>
        </w:rPr>
        <w:lastRenderedPageBreak/>
        <w:t>年期银行贷款</w:t>
      </w:r>
      <w:r>
        <w:rPr>
          <w:rFonts w:ascii="宋体" w:hAnsi="宋体" w:hint="eastAsia"/>
          <w:szCs w:val="21"/>
        </w:rPr>
        <w:t>基准</w:t>
      </w:r>
      <w:r w:rsidRPr="0047026C">
        <w:rPr>
          <w:rFonts w:ascii="宋体" w:hAnsi="宋体" w:hint="eastAsia"/>
          <w:szCs w:val="21"/>
        </w:rPr>
        <w:t>利率。</w:t>
      </w:r>
    </w:p>
    <w:p w:rsidR="0029329D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10" w:name="_Toc338072179"/>
      <w:bookmarkStart w:id="11" w:name="_Toc377116682"/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.3品牌价值</w:t>
      </w:r>
      <w:r>
        <w:rPr>
          <w:rFonts w:ascii="宋体" w:hAnsi="宋体" w:hint="eastAsia"/>
          <w:sz w:val="21"/>
          <w:szCs w:val="21"/>
        </w:rPr>
        <w:t>折现率的确定</w:t>
      </w:r>
      <w:bookmarkEnd w:id="10"/>
      <w:bookmarkEnd w:id="11"/>
    </w:p>
    <w:p w:rsidR="0029329D" w:rsidRPr="00A9165B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.3.1</w:t>
      </w:r>
      <w:r>
        <w:rPr>
          <w:rFonts w:ascii="宋体" w:hAnsi="宋体" w:hint="eastAsia"/>
          <w:sz w:val="21"/>
          <w:szCs w:val="21"/>
        </w:rPr>
        <w:t>品牌价值折现率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92544A">
        <w:rPr>
          <w:rFonts w:ascii="宋体" w:hAnsi="宋体" w:hint="eastAsia"/>
          <w:szCs w:val="21"/>
        </w:rPr>
        <w:t>品牌价值</w:t>
      </w:r>
      <w:r>
        <w:rPr>
          <w:rFonts w:ascii="宋体" w:hAnsi="宋体" w:hint="eastAsia"/>
          <w:szCs w:val="21"/>
        </w:rPr>
        <w:t>折现率应按式（4）计算：</w:t>
      </w:r>
    </w:p>
    <w:p w:rsidR="0029329D" w:rsidRDefault="0029329D" w:rsidP="0029329D">
      <w:pPr>
        <w:spacing w:line="360" w:lineRule="auto"/>
        <w:ind w:firstLineChars="202" w:firstLine="424"/>
        <w:jc w:val="center"/>
        <w:rPr>
          <w:rFonts w:ascii="宋体" w:hAnsi="宋体"/>
          <w:szCs w:val="21"/>
        </w:rPr>
      </w:pPr>
      <w:r w:rsidRPr="0042763A">
        <w:rPr>
          <w:position w:val="-4"/>
        </w:rPr>
        <w:object w:dxaOrig="1020" w:dyaOrig="260">
          <v:shape id="_x0000_i1032" type="#_x0000_t75" style="width:51pt;height:13pt" o:ole="">
            <v:imagedata r:id="rId20" o:title=""/>
          </v:shape>
          <o:OLEObject Type="Embed" ProgID="Unknown" ShapeID="_x0000_i1032" DrawAspect="Content" ObjectID="_1569943996" r:id="rId21"/>
        </w:object>
      </w:r>
      <w:r>
        <w:rPr>
          <w:rFonts w:hint="eastAsia"/>
        </w:rPr>
        <w:t xml:space="preserve">         </w: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4</w:t>
      </w:r>
      <w:r w:rsidRPr="00C62101">
        <w:rPr>
          <w:rFonts w:ascii="宋体" w:hAnsi="宋体" w:hint="eastAsia"/>
          <w:szCs w:val="21"/>
        </w:rPr>
        <w:t>)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R</w:t>
      </w:r>
      <w:r>
        <w:rPr>
          <w:rFonts w:cs="宋体" w:hint="eastAsia"/>
        </w:rPr>
        <w:t>――</w:t>
      </w:r>
      <w:r w:rsidRPr="0092544A">
        <w:rPr>
          <w:rFonts w:ascii="宋体" w:hAnsi="宋体" w:hint="eastAsia"/>
          <w:szCs w:val="21"/>
        </w:rPr>
        <w:t>品牌价值</w:t>
      </w:r>
      <w:r>
        <w:rPr>
          <w:rFonts w:ascii="宋体" w:hAnsi="宋体" w:hint="eastAsia"/>
          <w:szCs w:val="21"/>
        </w:rPr>
        <w:t>折现率；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Z</w:t>
      </w:r>
      <w:r>
        <w:rPr>
          <w:rFonts w:cs="宋体" w:hint="eastAsia"/>
        </w:rPr>
        <w:t>――</w:t>
      </w:r>
      <w:r>
        <w:rPr>
          <w:rFonts w:ascii="宋体" w:hAnsi="宋体" w:hint="eastAsia"/>
          <w:szCs w:val="21"/>
        </w:rPr>
        <w:t>行业平均资产报酬率；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K</w:t>
      </w:r>
      <w:r w:rsidRPr="0042763A">
        <w:rPr>
          <w:rFonts w:cs="宋体" w:hint="eastAsia"/>
        </w:rPr>
        <w:t>――</w:t>
      </w:r>
      <w:r w:rsidRPr="0042763A">
        <w:rPr>
          <w:rFonts w:ascii="宋体" w:hAnsi="宋体" w:hint="eastAsia"/>
          <w:szCs w:val="21"/>
        </w:rPr>
        <w:t>品牌强度系数。</w:t>
      </w:r>
    </w:p>
    <w:p w:rsidR="0029329D" w:rsidRPr="00A15E76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.3.</w:t>
      </w:r>
      <w:r>
        <w:rPr>
          <w:rFonts w:ascii="宋体" w:hAnsi="宋体" w:hint="eastAsia"/>
          <w:sz w:val="21"/>
          <w:szCs w:val="21"/>
        </w:rPr>
        <w:t>2</w:t>
      </w:r>
      <w:r w:rsidRPr="00722C23">
        <w:rPr>
          <w:rFonts w:ascii="宋体" w:hAnsi="宋体" w:hint="eastAsia"/>
          <w:sz w:val="21"/>
          <w:szCs w:val="21"/>
        </w:rPr>
        <w:t>行业平均</w:t>
      </w:r>
      <w:r>
        <w:rPr>
          <w:rFonts w:ascii="宋体" w:hAnsi="宋体" w:hint="eastAsia"/>
          <w:sz w:val="21"/>
          <w:szCs w:val="21"/>
        </w:rPr>
        <w:t>资产报酬</w:t>
      </w:r>
      <w:r w:rsidRPr="00722C23">
        <w:rPr>
          <w:rFonts w:ascii="宋体" w:hAnsi="宋体" w:hint="eastAsia"/>
          <w:sz w:val="21"/>
          <w:szCs w:val="21"/>
        </w:rPr>
        <w:t>率</w:t>
      </w:r>
    </w:p>
    <w:p w:rsidR="0029329D" w:rsidRPr="00F81D8F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F81D8F">
        <w:rPr>
          <w:rFonts w:ascii="宋体" w:hAnsi="宋体" w:hint="eastAsia"/>
          <w:szCs w:val="21"/>
        </w:rPr>
        <w:t>行业平均</w:t>
      </w:r>
      <w:r>
        <w:rPr>
          <w:rFonts w:ascii="宋体" w:hAnsi="宋体" w:hint="eastAsia"/>
          <w:szCs w:val="21"/>
        </w:rPr>
        <w:t>资产报酬</w:t>
      </w:r>
      <w:r w:rsidRPr="00F81D8F">
        <w:rPr>
          <w:rFonts w:ascii="宋体" w:hAnsi="宋体" w:hint="eastAsia"/>
          <w:szCs w:val="21"/>
        </w:rPr>
        <w:t>率可通过计算相近行业、类型</w:t>
      </w:r>
      <w:r>
        <w:rPr>
          <w:rFonts w:ascii="宋体" w:hAnsi="宋体" w:hint="eastAsia"/>
          <w:szCs w:val="21"/>
        </w:rPr>
        <w:t>和</w:t>
      </w:r>
      <w:r w:rsidRPr="00F81D8F">
        <w:rPr>
          <w:rFonts w:ascii="宋体" w:hAnsi="宋体" w:hint="eastAsia"/>
          <w:szCs w:val="21"/>
        </w:rPr>
        <w:t>规模的上市企业平均</w:t>
      </w:r>
      <w:r>
        <w:rPr>
          <w:rFonts w:ascii="宋体" w:hAnsi="宋体" w:hint="eastAsia"/>
          <w:szCs w:val="21"/>
        </w:rPr>
        <w:t>资产报酬</w:t>
      </w:r>
      <w:r w:rsidRPr="00F81D8F">
        <w:rPr>
          <w:rFonts w:ascii="宋体" w:hAnsi="宋体" w:hint="eastAsia"/>
          <w:szCs w:val="21"/>
        </w:rPr>
        <w:t>率得到，也可</w:t>
      </w:r>
      <w:r>
        <w:rPr>
          <w:rFonts w:ascii="宋体" w:hAnsi="宋体" w:hint="eastAsia"/>
          <w:szCs w:val="21"/>
        </w:rPr>
        <w:t>通过统计调查等方式获得行业平均资产报酬率。</w:t>
      </w:r>
    </w:p>
    <w:p w:rsidR="0029329D" w:rsidRPr="00A15E76" w:rsidRDefault="0029329D" w:rsidP="0029329D">
      <w:pPr>
        <w:pStyle w:val="3"/>
        <w:spacing w:before="0" w:after="0" w:line="415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</w:t>
      </w:r>
      <w:r w:rsidRPr="00A15E76">
        <w:rPr>
          <w:rFonts w:ascii="宋体" w:hAnsi="宋体" w:hint="eastAsia"/>
          <w:sz w:val="21"/>
          <w:szCs w:val="21"/>
        </w:rPr>
        <w:t>.3.</w:t>
      </w:r>
      <w:r>
        <w:rPr>
          <w:rFonts w:ascii="宋体" w:hAnsi="宋体" w:hint="eastAsia"/>
          <w:sz w:val="21"/>
          <w:szCs w:val="21"/>
        </w:rPr>
        <w:t>3</w:t>
      </w:r>
      <w:r w:rsidRPr="00A15E76">
        <w:rPr>
          <w:rFonts w:ascii="宋体" w:hAnsi="宋体" w:hint="eastAsia"/>
          <w:sz w:val="21"/>
          <w:szCs w:val="21"/>
        </w:rPr>
        <w:t>品牌强度系数</w:t>
      </w:r>
    </w:p>
    <w:p w:rsidR="0029329D" w:rsidRPr="006A7CE2" w:rsidRDefault="0029329D" w:rsidP="0029329D">
      <w:pPr>
        <w:spacing w:line="500" w:lineRule="exact"/>
        <w:ind w:firstLineChars="196" w:firstLine="412"/>
        <w:jc w:val="left"/>
        <w:rPr>
          <w:rFonts w:ascii="宋体" w:hAnsi="宋体"/>
          <w:szCs w:val="21"/>
        </w:rPr>
      </w:pPr>
      <w:r>
        <w:rPr>
          <w:rFonts w:hint="eastAsia"/>
        </w:rPr>
        <w:t>品牌强度系数由质量（</w:t>
      </w:r>
      <w:r w:rsidRPr="00A9165B">
        <w:rPr>
          <w:rFonts w:hint="eastAsia"/>
          <w:i/>
        </w:rPr>
        <w:t>K</w:t>
      </w:r>
      <w:r w:rsidRPr="00313828">
        <w:rPr>
          <w:rFonts w:hint="eastAsia"/>
          <w:vertAlign w:val="subscript"/>
        </w:rPr>
        <w:t>1</w:t>
      </w:r>
      <w:r>
        <w:rPr>
          <w:rFonts w:hint="eastAsia"/>
        </w:rPr>
        <w:t>）、创新（</w:t>
      </w:r>
      <w:r w:rsidRPr="00A9165B">
        <w:rPr>
          <w:rFonts w:hint="eastAsia"/>
          <w:i/>
        </w:rPr>
        <w:t>K</w:t>
      </w:r>
      <w:r w:rsidRPr="00313828">
        <w:rPr>
          <w:rFonts w:hint="eastAsia"/>
          <w:vertAlign w:val="subscript"/>
        </w:rPr>
        <w:t>2</w:t>
      </w:r>
      <w:r>
        <w:rPr>
          <w:rFonts w:hint="eastAsia"/>
        </w:rPr>
        <w:t>）、市场（</w:t>
      </w:r>
      <w:r w:rsidRPr="00A9165B">
        <w:rPr>
          <w:rFonts w:hint="eastAsia"/>
          <w:i/>
        </w:rPr>
        <w:t>K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）、服务（</w:t>
      </w:r>
      <w:r w:rsidRPr="00A9165B">
        <w:rPr>
          <w:rFonts w:hint="eastAsia"/>
          <w:i/>
        </w:rPr>
        <w:t>K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）、社会责任（</w:t>
      </w:r>
      <w:r w:rsidRPr="00A9165B">
        <w:rPr>
          <w:rFonts w:hint="eastAsia"/>
          <w:i/>
        </w:rPr>
        <w:t>K</w:t>
      </w:r>
      <w:r>
        <w:rPr>
          <w:rFonts w:hint="eastAsia"/>
          <w:vertAlign w:val="subscript"/>
        </w:rPr>
        <w:t>5</w:t>
      </w:r>
      <w:r>
        <w:rPr>
          <w:rFonts w:hint="eastAsia"/>
        </w:rPr>
        <w:t>）等一级指标，按</w:t>
      </w:r>
      <w:r w:rsidRPr="006A7CE2">
        <w:rPr>
          <w:rFonts w:ascii="宋体" w:hAnsi="宋体" w:hint="eastAsia"/>
          <w:szCs w:val="21"/>
        </w:rPr>
        <w:t>式（</w:t>
      </w:r>
      <w:r>
        <w:rPr>
          <w:rFonts w:ascii="宋体" w:hAnsi="宋体" w:hint="eastAsia"/>
          <w:szCs w:val="21"/>
        </w:rPr>
        <w:t>5</w:t>
      </w:r>
      <w:r w:rsidRPr="006A7CE2">
        <w:rPr>
          <w:rFonts w:ascii="宋体" w:hAnsi="宋体" w:hint="eastAsia"/>
          <w:szCs w:val="21"/>
        </w:rPr>
        <w:t>）计算：</w:t>
      </w:r>
    </w:p>
    <w:p w:rsidR="0029329D" w:rsidRDefault="0029329D" w:rsidP="0029329D">
      <w:pPr>
        <w:ind w:firstLineChars="200" w:firstLine="56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color w:val="FF0000"/>
          <w:position w:val="-28"/>
          <w:sz w:val="28"/>
          <w:szCs w:val="28"/>
        </w:rPr>
        <w:object w:dxaOrig="1440" w:dyaOrig="680">
          <v:shape id="_x0000_i1033" type="#_x0000_t75" style="width:89pt;height:42pt" o:ole="">
            <v:imagedata r:id="rId22" o:title=""/>
          </v:shape>
          <o:OLEObject Type="Embed" ProgID="Equation.DSMT4" ShapeID="_x0000_i1033" DrawAspect="Content" ObjectID="_1569943997" r:id="rId23"/>
        </w:object>
      </w:r>
      <w:r>
        <w:rPr>
          <w:rFonts w:hint="eastAsia"/>
        </w:rPr>
        <w:t xml:space="preserve">         </w: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5</w:t>
      </w:r>
      <w:r w:rsidRPr="00C62101">
        <w:rPr>
          <w:rFonts w:ascii="宋体" w:hAnsi="宋体" w:hint="eastAsia"/>
          <w:szCs w:val="21"/>
        </w:rPr>
        <w:t>)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K</w:t>
      </w:r>
      <w:r>
        <w:rPr>
          <w:rFonts w:cs="宋体" w:hint="eastAsia"/>
        </w:rPr>
        <w:t>――</w:t>
      </w:r>
      <w:r w:rsidRPr="0092544A">
        <w:rPr>
          <w:rFonts w:ascii="宋体" w:hAnsi="宋体" w:hint="eastAsia"/>
          <w:szCs w:val="21"/>
        </w:rPr>
        <w:t>品牌</w:t>
      </w:r>
      <w:r>
        <w:rPr>
          <w:rFonts w:ascii="宋体" w:hAnsi="宋体" w:hint="eastAsia"/>
          <w:szCs w:val="21"/>
        </w:rPr>
        <w:t>强度系数；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K</w:t>
      </w:r>
      <w:r w:rsidRPr="00A9165B">
        <w:rPr>
          <w:rFonts w:ascii="宋体" w:hAnsi="宋体" w:hint="eastAsia"/>
          <w:i/>
          <w:szCs w:val="21"/>
          <w:vertAlign w:val="subscript"/>
        </w:rPr>
        <w:t>i</w:t>
      </w:r>
      <w:r>
        <w:rPr>
          <w:rFonts w:cs="宋体" w:hint="eastAsia"/>
        </w:rPr>
        <w:t>――</w:t>
      </w:r>
      <w:r w:rsidRPr="00313828">
        <w:rPr>
          <w:rFonts w:hint="eastAsia"/>
        </w:rPr>
        <w:t>第</w:t>
      </w:r>
      <w:r w:rsidRPr="00A9165B">
        <w:rPr>
          <w:rFonts w:hint="eastAsia"/>
          <w:i/>
        </w:rPr>
        <w:t>i</w:t>
      </w:r>
      <w:r w:rsidRPr="00313828">
        <w:rPr>
          <w:rFonts w:hint="eastAsia"/>
        </w:rPr>
        <w:t>个一级指标</w:t>
      </w:r>
      <w:r>
        <w:rPr>
          <w:rFonts w:hint="eastAsia"/>
        </w:rPr>
        <w:t>评估值；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W</w:t>
      </w:r>
      <w:r w:rsidRPr="00A9165B">
        <w:rPr>
          <w:rFonts w:ascii="宋体" w:hAnsi="宋体" w:hint="eastAsia"/>
          <w:i/>
          <w:szCs w:val="21"/>
          <w:vertAlign w:val="subscript"/>
        </w:rPr>
        <w:t>i</w:t>
      </w:r>
      <w:r>
        <w:rPr>
          <w:rFonts w:cs="宋体" w:hint="eastAsia"/>
        </w:rPr>
        <w:t>――</w:t>
      </w:r>
      <w:r w:rsidRPr="00313828">
        <w:rPr>
          <w:rFonts w:hint="eastAsia"/>
        </w:rPr>
        <w:t>第</w:t>
      </w:r>
      <w:r w:rsidRPr="00A9165B">
        <w:rPr>
          <w:rFonts w:hint="eastAsia"/>
          <w:i/>
        </w:rPr>
        <w:t>i</w:t>
      </w:r>
      <w:r w:rsidRPr="00313828">
        <w:rPr>
          <w:rFonts w:hint="eastAsia"/>
        </w:rPr>
        <w:t>个一级指标</w:t>
      </w:r>
      <w:r>
        <w:rPr>
          <w:rFonts w:hint="eastAsia"/>
        </w:rPr>
        <w:t>对品牌强度系数</w:t>
      </w:r>
      <w:r>
        <w:rPr>
          <w:rFonts w:hint="eastAsia"/>
        </w:rPr>
        <w:t>K</w:t>
      </w:r>
      <w:r>
        <w:rPr>
          <w:rFonts w:hint="eastAsia"/>
        </w:rPr>
        <w:t>的影响权重。</w:t>
      </w:r>
    </w:p>
    <w:p w:rsidR="0029329D" w:rsidRPr="00A77A1D" w:rsidRDefault="0029329D" w:rsidP="0029329D">
      <w:pPr>
        <w:spacing w:line="500" w:lineRule="exact"/>
        <w:ind w:firstLineChars="196" w:firstLine="412"/>
        <w:jc w:val="left"/>
      </w:pPr>
      <w:r w:rsidRPr="00E2297D">
        <w:rPr>
          <w:rFonts w:hint="eastAsia"/>
        </w:rPr>
        <w:t>若</w:t>
      </w:r>
      <w:r>
        <w:rPr>
          <w:rFonts w:hint="eastAsia"/>
        </w:rPr>
        <w:t>质量（</w:t>
      </w:r>
      <w:r w:rsidRPr="00A9165B">
        <w:rPr>
          <w:rFonts w:hint="eastAsia"/>
          <w:i/>
        </w:rPr>
        <w:t>K</w:t>
      </w:r>
      <w:r w:rsidRPr="00A9165B">
        <w:rPr>
          <w:rFonts w:hint="eastAsia"/>
          <w:vertAlign w:val="subscript"/>
        </w:rPr>
        <w:t>1</w:t>
      </w:r>
      <w:r>
        <w:rPr>
          <w:rFonts w:hint="eastAsia"/>
        </w:rPr>
        <w:t>）、</w:t>
      </w:r>
      <w:r w:rsidR="00796F6A">
        <w:rPr>
          <w:rFonts w:hint="eastAsia"/>
        </w:rPr>
        <w:t>技术</w:t>
      </w:r>
      <w:r>
        <w:rPr>
          <w:rFonts w:hint="eastAsia"/>
        </w:rPr>
        <w:t>创新（</w:t>
      </w:r>
      <w:r w:rsidRPr="00A9165B">
        <w:rPr>
          <w:rFonts w:hint="eastAsia"/>
          <w:i/>
        </w:rPr>
        <w:t>K</w:t>
      </w:r>
      <w:r w:rsidRPr="00A9165B">
        <w:rPr>
          <w:rFonts w:hint="eastAsia"/>
          <w:vertAlign w:val="subscript"/>
        </w:rPr>
        <w:t>2</w:t>
      </w:r>
      <w:r>
        <w:rPr>
          <w:rFonts w:hint="eastAsia"/>
        </w:rPr>
        <w:t>）、市场（</w:t>
      </w:r>
      <w:r w:rsidRPr="00A9165B">
        <w:rPr>
          <w:rFonts w:hint="eastAsia"/>
          <w:i/>
        </w:rPr>
        <w:t>K</w:t>
      </w:r>
      <w:r w:rsidRPr="00A9165B">
        <w:rPr>
          <w:rFonts w:hint="eastAsia"/>
          <w:vertAlign w:val="subscript"/>
        </w:rPr>
        <w:t>3</w:t>
      </w:r>
      <w:r>
        <w:rPr>
          <w:rFonts w:hint="eastAsia"/>
        </w:rPr>
        <w:t>）、服务（</w:t>
      </w:r>
      <w:r w:rsidRPr="00A9165B">
        <w:rPr>
          <w:rFonts w:hint="eastAsia"/>
          <w:i/>
        </w:rPr>
        <w:t>K</w:t>
      </w:r>
      <w:r w:rsidRPr="00A9165B">
        <w:rPr>
          <w:rFonts w:hint="eastAsia"/>
          <w:vertAlign w:val="subscript"/>
        </w:rPr>
        <w:t>4</w:t>
      </w:r>
      <w:r>
        <w:rPr>
          <w:rFonts w:hint="eastAsia"/>
        </w:rPr>
        <w:t>）、社会责任（</w:t>
      </w:r>
      <w:r w:rsidRPr="00A9165B">
        <w:rPr>
          <w:rFonts w:hint="eastAsia"/>
          <w:i/>
        </w:rPr>
        <w:t>K</w:t>
      </w:r>
      <w:r w:rsidRPr="00A9165B">
        <w:rPr>
          <w:rFonts w:hint="eastAsia"/>
          <w:vertAlign w:val="subscript"/>
        </w:rPr>
        <w:t>5</w:t>
      </w:r>
      <w:r>
        <w:rPr>
          <w:rFonts w:hint="eastAsia"/>
        </w:rPr>
        <w:t>）等方面指标由二级指标构成时，可用式（</w:t>
      </w:r>
      <w:r>
        <w:rPr>
          <w:rFonts w:hint="eastAsia"/>
        </w:rPr>
        <w:t>6</w:t>
      </w:r>
      <w:r>
        <w:rPr>
          <w:rFonts w:hint="eastAsia"/>
        </w:rPr>
        <w:t>）计算：</w:t>
      </w:r>
    </w:p>
    <w:p w:rsidR="0029329D" w:rsidRDefault="0029329D" w:rsidP="0029329D">
      <w:pPr>
        <w:ind w:firstLineChars="200" w:firstLine="56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position w:val="-30"/>
          <w:sz w:val="28"/>
          <w:szCs w:val="28"/>
        </w:rPr>
        <w:object w:dxaOrig="1600" w:dyaOrig="700">
          <v:shape id="_x0000_i1034" type="#_x0000_t75" style="width:92.5pt;height:39pt" o:ole="">
            <v:imagedata r:id="rId24" o:title=""/>
          </v:shape>
          <o:OLEObject Type="Embed" ProgID="Equation.DSMT4" ShapeID="_x0000_i1034" DrawAspect="Content" ObjectID="_1569943998" r:id="rId25"/>
        </w:object>
      </w:r>
      <w:r>
        <w:rPr>
          <w:rFonts w:hint="eastAsia"/>
        </w:rPr>
        <w:t xml:space="preserve">        </w:t>
      </w:r>
      <w:r w:rsidRPr="00C62101">
        <w:rPr>
          <w:rFonts w:ascii="宋体" w:hAnsi="宋体"/>
          <w:szCs w:val="21"/>
        </w:rPr>
        <w:t>…………………</w:t>
      </w:r>
      <w:r w:rsidRPr="00C62101">
        <w:rPr>
          <w:rFonts w:ascii="宋体" w:hAnsi="宋体" w:hint="eastAsia"/>
          <w:szCs w:val="21"/>
        </w:rPr>
        <w:t>(</w:t>
      </w:r>
      <w:r>
        <w:rPr>
          <w:rFonts w:ascii="宋体" w:hAnsi="宋体" w:hint="eastAsia"/>
          <w:szCs w:val="21"/>
        </w:rPr>
        <w:t>6</w:t>
      </w:r>
      <w:r w:rsidRPr="00C62101">
        <w:rPr>
          <w:rFonts w:ascii="宋体" w:hAnsi="宋体" w:hint="eastAsia"/>
          <w:szCs w:val="21"/>
        </w:rPr>
        <w:t>)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29329D" w:rsidRDefault="0029329D" w:rsidP="0029329D">
      <w:pPr>
        <w:spacing w:line="360" w:lineRule="auto"/>
        <w:ind w:firstLineChars="202" w:firstLine="424"/>
      </w:pPr>
      <w:r w:rsidRPr="00A9165B">
        <w:rPr>
          <w:rFonts w:ascii="宋体" w:hAnsi="宋体" w:hint="eastAsia"/>
          <w:i/>
          <w:szCs w:val="21"/>
        </w:rPr>
        <w:t>K</w:t>
      </w:r>
      <w:r w:rsidRPr="00A9165B">
        <w:rPr>
          <w:rFonts w:ascii="宋体" w:hAnsi="宋体" w:hint="eastAsia"/>
          <w:i/>
          <w:szCs w:val="21"/>
          <w:vertAlign w:val="subscript"/>
        </w:rPr>
        <w:t>i</w:t>
      </w:r>
      <w:r>
        <w:rPr>
          <w:rFonts w:cs="宋体" w:hint="eastAsia"/>
        </w:rPr>
        <w:t>――</w:t>
      </w:r>
      <w:r w:rsidRPr="00313828">
        <w:rPr>
          <w:rFonts w:hint="eastAsia"/>
        </w:rPr>
        <w:t>第</w:t>
      </w:r>
      <w:r w:rsidRPr="00A9165B">
        <w:rPr>
          <w:rFonts w:hint="eastAsia"/>
          <w:i/>
        </w:rPr>
        <w:t>i</w:t>
      </w:r>
      <w:r w:rsidRPr="00313828">
        <w:rPr>
          <w:rFonts w:hint="eastAsia"/>
        </w:rPr>
        <w:t>个一级指标</w:t>
      </w:r>
      <w:r>
        <w:rPr>
          <w:rFonts w:hint="eastAsia"/>
        </w:rPr>
        <w:t>得分；</w:t>
      </w:r>
    </w:p>
    <w:p w:rsidR="0029329D" w:rsidRPr="00E2297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K</w:t>
      </w:r>
      <w:r w:rsidRPr="00A9165B">
        <w:rPr>
          <w:rFonts w:ascii="宋体" w:hAnsi="宋体" w:hint="eastAsia"/>
          <w:i/>
          <w:szCs w:val="21"/>
          <w:vertAlign w:val="subscript"/>
        </w:rPr>
        <w:t>ij</w:t>
      </w:r>
      <w:r>
        <w:rPr>
          <w:rFonts w:cs="宋体" w:hint="eastAsia"/>
        </w:rPr>
        <w:t>――</w:t>
      </w:r>
      <w:r w:rsidRPr="00E2297D">
        <w:rPr>
          <w:rFonts w:hint="eastAsia"/>
        </w:rPr>
        <w:t>第</w:t>
      </w:r>
      <w:r w:rsidRPr="00A9165B">
        <w:rPr>
          <w:rFonts w:hint="eastAsia"/>
          <w:i/>
        </w:rPr>
        <w:t>i</w:t>
      </w:r>
      <w:r w:rsidRPr="00E2297D">
        <w:rPr>
          <w:rFonts w:hint="eastAsia"/>
        </w:rPr>
        <w:t>个一级指标下的第</w:t>
      </w:r>
      <w:r w:rsidRPr="00A9165B">
        <w:rPr>
          <w:rFonts w:hint="eastAsia"/>
          <w:i/>
        </w:rPr>
        <w:t>j</w:t>
      </w:r>
      <w:r w:rsidRPr="00E2297D">
        <w:rPr>
          <w:rFonts w:hint="eastAsia"/>
        </w:rPr>
        <w:t>个二级指标</w:t>
      </w:r>
      <w:r>
        <w:rPr>
          <w:rFonts w:hint="eastAsia"/>
        </w:rPr>
        <w:t>评估值；</w:t>
      </w:r>
    </w:p>
    <w:p w:rsidR="0029329D" w:rsidRDefault="0029329D" w:rsidP="0029329D">
      <w:pPr>
        <w:spacing w:line="360" w:lineRule="auto"/>
        <w:ind w:firstLineChars="202" w:firstLine="424"/>
        <w:rPr>
          <w:rFonts w:ascii="宋体" w:hAnsi="宋体"/>
          <w:szCs w:val="21"/>
        </w:rPr>
      </w:pPr>
      <w:r w:rsidRPr="00A9165B">
        <w:rPr>
          <w:rFonts w:ascii="宋体" w:hAnsi="宋体" w:hint="eastAsia"/>
          <w:i/>
          <w:szCs w:val="21"/>
        </w:rPr>
        <w:t>W</w:t>
      </w:r>
      <w:r w:rsidRPr="00A9165B">
        <w:rPr>
          <w:rFonts w:ascii="宋体" w:hAnsi="宋体" w:hint="eastAsia"/>
          <w:i/>
          <w:szCs w:val="21"/>
          <w:vertAlign w:val="subscript"/>
        </w:rPr>
        <w:t>ij</w:t>
      </w:r>
      <w:r>
        <w:rPr>
          <w:rFonts w:cs="宋体" w:hint="eastAsia"/>
        </w:rPr>
        <w:t>――</w:t>
      </w:r>
      <w:r w:rsidRPr="00313828">
        <w:rPr>
          <w:rFonts w:hint="eastAsia"/>
        </w:rPr>
        <w:t>第</w:t>
      </w:r>
      <w:r w:rsidRPr="00A9165B">
        <w:rPr>
          <w:rFonts w:hint="eastAsia"/>
          <w:i/>
        </w:rPr>
        <w:t>j</w:t>
      </w:r>
      <w:r w:rsidRPr="00313828">
        <w:rPr>
          <w:rFonts w:hint="eastAsia"/>
        </w:rPr>
        <w:t>个</w:t>
      </w:r>
      <w:r>
        <w:rPr>
          <w:rFonts w:hint="eastAsia"/>
        </w:rPr>
        <w:t>二</w:t>
      </w:r>
      <w:r w:rsidRPr="00313828">
        <w:rPr>
          <w:rFonts w:hint="eastAsia"/>
        </w:rPr>
        <w:t>级指标</w:t>
      </w:r>
      <w:r>
        <w:rPr>
          <w:rFonts w:hint="eastAsia"/>
        </w:rPr>
        <w:t>对一级指标</w:t>
      </w:r>
      <w:r w:rsidRPr="00A9165B">
        <w:rPr>
          <w:rFonts w:hint="eastAsia"/>
          <w:i/>
        </w:rPr>
        <w:t>i</w:t>
      </w:r>
      <w:r>
        <w:rPr>
          <w:rFonts w:hint="eastAsia"/>
        </w:rPr>
        <w:t>的影响权重。</w:t>
      </w:r>
    </w:p>
    <w:p w:rsidR="0029329D" w:rsidRDefault="0029329D" w:rsidP="0029329D">
      <w:pPr>
        <w:spacing w:line="360" w:lineRule="auto"/>
        <w:ind w:firstLineChars="202" w:firstLine="424"/>
      </w:pPr>
      <w:r>
        <w:rPr>
          <w:rFonts w:hint="eastAsia"/>
        </w:rPr>
        <w:lastRenderedPageBreak/>
        <w:t>根据我国企业和市场实际情况，</w:t>
      </w:r>
      <w:r w:rsidRPr="00E2297D">
        <w:rPr>
          <w:rFonts w:hint="eastAsia"/>
        </w:rPr>
        <w:t>通过特定的转化方法，将品牌强度系数取值范围限定在科学的范围内，如</w:t>
      </w:r>
      <w:r w:rsidRPr="00E2297D">
        <w:rPr>
          <w:rFonts w:hint="eastAsia"/>
        </w:rPr>
        <w:t>[0.</w:t>
      </w:r>
      <w:r>
        <w:rPr>
          <w:rFonts w:hint="eastAsia"/>
        </w:rPr>
        <w:t xml:space="preserve">6, </w:t>
      </w:r>
      <w:r w:rsidRPr="00E2297D">
        <w:rPr>
          <w:rFonts w:hint="eastAsia"/>
        </w:rPr>
        <w:t>2]</w:t>
      </w:r>
      <w:r w:rsidRPr="00E2297D">
        <w:rPr>
          <w:rFonts w:hint="eastAsia"/>
        </w:rPr>
        <w:t>。</w:t>
      </w:r>
    </w:p>
    <w:p w:rsidR="0029329D" w:rsidRPr="00A9165B" w:rsidRDefault="0029329D" w:rsidP="00796F6A">
      <w:pPr>
        <w:pStyle w:val="1"/>
        <w:spacing w:beforeLines="50" w:before="156" w:after="0" w:line="240" w:lineRule="auto"/>
        <w:jc w:val="left"/>
        <w:rPr>
          <w:rFonts w:ascii="黑体" w:eastAsia="黑体"/>
          <w:b w:val="0"/>
          <w:sz w:val="24"/>
          <w:szCs w:val="24"/>
        </w:rPr>
      </w:pPr>
      <w:bookmarkStart w:id="12" w:name="_Toc377116683"/>
      <w:r>
        <w:rPr>
          <w:rFonts w:ascii="黑体" w:eastAsia="黑体" w:hint="eastAsia"/>
          <w:b w:val="0"/>
          <w:sz w:val="24"/>
          <w:szCs w:val="24"/>
        </w:rPr>
        <w:t>5</w:t>
      </w:r>
      <w:r w:rsidRPr="00A9165B">
        <w:rPr>
          <w:rFonts w:ascii="黑体" w:eastAsia="黑体" w:hint="eastAsia"/>
          <w:b w:val="0"/>
          <w:sz w:val="24"/>
          <w:szCs w:val="24"/>
        </w:rPr>
        <w:t xml:space="preserve">  </w:t>
      </w:r>
      <w:r w:rsidRPr="0029329D">
        <w:rPr>
          <w:rFonts w:ascii="黑体" w:eastAsia="黑体" w:hint="eastAsia"/>
          <w:b w:val="0"/>
          <w:sz w:val="24"/>
          <w:szCs w:val="24"/>
        </w:rPr>
        <w:t>汽车售后零部件</w:t>
      </w:r>
      <w:r>
        <w:rPr>
          <w:rFonts w:ascii="黑体" w:eastAsia="黑体" w:hint="eastAsia"/>
          <w:b w:val="0"/>
          <w:sz w:val="24"/>
          <w:szCs w:val="24"/>
        </w:rPr>
        <w:t>服务</w:t>
      </w:r>
      <w:r w:rsidRPr="00A9165B">
        <w:rPr>
          <w:rFonts w:ascii="黑体" w:eastAsia="黑体" w:hint="eastAsia"/>
          <w:b w:val="0"/>
          <w:sz w:val="24"/>
          <w:szCs w:val="24"/>
        </w:rPr>
        <w:t>品牌强度测算指标</w:t>
      </w:r>
      <w:bookmarkEnd w:id="12"/>
    </w:p>
    <w:p w:rsidR="0029329D" w:rsidRPr="00A90CA8" w:rsidRDefault="0029329D" w:rsidP="0029329D">
      <w:pPr>
        <w:spacing w:line="360" w:lineRule="auto"/>
        <w:ind w:firstLineChars="202" w:firstLine="424"/>
      </w:pPr>
      <w:bookmarkStart w:id="13" w:name="_Toc293924339"/>
      <w:r w:rsidRPr="0029329D">
        <w:rPr>
          <w:rFonts w:hint="eastAsia"/>
          <w:szCs w:val="21"/>
        </w:rPr>
        <w:t>汽车售后零部件</w:t>
      </w:r>
      <w:r>
        <w:rPr>
          <w:rFonts w:hint="eastAsia"/>
          <w:szCs w:val="21"/>
        </w:rPr>
        <w:t>服务</w:t>
      </w:r>
      <w:r>
        <w:rPr>
          <w:rFonts w:hint="eastAsia"/>
        </w:rPr>
        <w:t>品牌强度测算共包括有</w:t>
      </w:r>
      <w:r w:rsidR="00796F6A" w:rsidRPr="00A90CA8">
        <w:rPr>
          <w:rFonts w:hint="eastAsia"/>
        </w:rPr>
        <w:t>质量</w:t>
      </w:r>
      <w:r w:rsidRPr="00A90CA8">
        <w:rPr>
          <w:rFonts w:hint="eastAsia"/>
        </w:rPr>
        <w:t>、</w:t>
      </w:r>
      <w:r w:rsidR="00796F6A" w:rsidRPr="00A90CA8">
        <w:rPr>
          <w:rFonts w:hint="eastAsia"/>
        </w:rPr>
        <w:t>技术创新</w:t>
      </w:r>
      <w:r w:rsidRPr="00A90CA8">
        <w:rPr>
          <w:rFonts w:hint="eastAsia"/>
        </w:rPr>
        <w:t>、</w:t>
      </w:r>
      <w:r w:rsidR="00796F6A" w:rsidRPr="00A90CA8">
        <w:rPr>
          <w:rFonts w:hint="eastAsia"/>
        </w:rPr>
        <w:t>市场、</w:t>
      </w:r>
      <w:r w:rsidRPr="00A90CA8">
        <w:rPr>
          <w:rFonts w:hint="eastAsia"/>
        </w:rPr>
        <w:t>服务</w:t>
      </w:r>
      <w:r w:rsidR="00796F6A" w:rsidRPr="00A90CA8">
        <w:rPr>
          <w:rFonts w:hint="eastAsia"/>
        </w:rPr>
        <w:t>、社会责任</w:t>
      </w:r>
      <w:r w:rsidR="00796F6A" w:rsidRPr="00A90CA8">
        <w:rPr>
          <w:rFonts w:hint="eastAsia"/>
        </w:rPr>
        <w:t>5</w:t>
      </w:r>
      <w:r w:rsidRPr="00A90CA8">
        <w:rPr>
          <w:rFonts w:hint="eastAsia"/>
        </w:rPr>
        <w:t>个一级指标和</w:t>
      </w:r>
      <w:r w:rsidR="00A079A4" w:rsidRPr="00A90CA8">
        <w:rPr>
          <w:rFonts w:hint="eastAsia"/>
        </w:rPr>
        <w:t>44</w:t>
      </w:r>
      <w:r w:rsidR="00A079A4" w:rsidRPr="00A90CA8">
        <w:rPr>
          <w:rFonts w:hint="eastAsia"/>
        </w:rPr>
        <w:t>个</w:t>
      </w:r>
      <w:r w:rsidRPr="00A90CA8">
        <w:rPr>
          <w:rFonts w:hint="eastAsia"/>
        </w:rPr>
        <w:t>二级指标。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bookmarkStart w:id="14" w:name="_Toc377116684"/>
      <w:bookmarkEnd w:id="13"/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1</w:t>
      </w:r>
      <w:r w:rsidRPr="006C6995">
        <w:rPr>
          <w:rFonts w:ascii="黑体" w:eastAsia="黑体" w:hAnsi="黑体" w:hint="eastAsia"/>
          <w:color w:val="000000"/>
        </w:rPr>
        <w:t>质量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1</w:t>
      </w:r>
      <w:r w:rsidRPr="006C6995">
        <w:rPr>
          <w:rFonts w:ascii="黑体" w:eastAsia="黑体" w:hAnsi="黑体"/>
          <w:color w:val="000000"/>
        </w:rPr>
        <w:t>.1</w:t>
      </w:r>
      <w:r w:rsidRPr="006C6995">
        <w:rPr>
          <w:rFonts w:ascii="黑体" w:eastAsia="黑体" w:hAnsi="黑体" w:hint="eastAsia"/>
          <w:color w:val="000000"/>
        </w:rPr>
        <w:t>质量水平</w:t>
      </w:r>
    </w:p>
    <w:p w:rsidR="00796F6A" w:rsidRPr="006C6995" w:rsidRDefault="00796F6A" w:rsidP="00796F6A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6C6995">
        <w:rPr>
          <w:rFonts w:ascii="宋体" w:hAnsi="宋体" w:hint="eastAsia"/>
          <w:color w:val="000000"/>
          <w:szCs w:val="21"/>
        </w:rPr>
        <w:t>质量水平包括：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制造水平（</w:t>
      </w:r>
      <w:r w:rsidRPr="006C6995">
        <w:rPr>
          <w:rFonts w:hint="eastAsia"/>
          <w:color w:val="000000"/>
        </w:rPr>
        <w:t>包括生产设备设施、工艺、检测能力、计量水平、人员水平等</w:t>
      </w:r>
      <w:r w:rsidRPr="006C6995">
        <w:rPr>
          <w:rFonts w:hAnsi="宋体" w:hint="eastAsia"/>
          <w:color w:val="000000"/>
        </w:rPr>
        <w:t>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  <w:szCs w:val="21"/>
        </w:rPr>
        <w:t>——</w:t>
      </w:r>
      <w:r w:rsidRPr="006C6995">
        <w:rPr>
          <w:rFonts w:hAnsi="宋体" w:hint="eastAsia"/>
          <w:color w:val="000000"/>
          <w:szCs w:val="21"/>
        </w:rPr>
        <w:t>产品实物质量（包括产品主要性能和可靠性）；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产品执行标准先进性；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产品认证情况。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1</w:t>
      </w:r>
      <w:r w:rsidRPr="006C6995">
        <w:rPr>
          <w:rFonts w:ascii="黑体" w:eastAsia="黑体" w:hAnsi="黑体"/>
          <w:color w:val="000000"/>
        </w:rPr>
        <w:t>.2</w:t>
      </w:r>
      <w:r w:rsidRPr="006C6995">
        <w:rPr>
          <w:rFonts w:ascii="黑体" w:eastAsia="黑体" w:hAnsi="黑体" w:hint="eastAsia"/>
          <w:color w:val="000000"/>
        </w:rPr>
        <w:t>质量信用</w:t>
      </w:r>
    </w:p>
    <w:p w:rsidR="00796F6A" w:rsidRPr="006C6995" w:rsidRDefault="00796F6A" w:rsidP="00796F6A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6C6995">
        <w:rPr>
          <w:rFonts w:ascii="宋体" w:hAnsi="宋体" w:hint="eastAsia"/>
          <w:color w:val="000000"/>
          <w:szCs w:val="21"/>
        </w:rPr>
        <w:t>质量信用包括：</w:t>
      </w:r>
      <w:r w:rsidR="00A90CA8" w:rsidRPr="006C6995">
        <w:rPr>
          <w:rFonts w:ascii="宋体"/>
          <w:color w:val="000000"/>
          <w:szCs w:val="21"/>
        </w:rPr>
        <w:t xml:space="preserve"> </w:t>
      </w:r>
    </w:p>
    <w:p w:rsidR="00796F6A" w:rsidRPr="006C6995" w:rsidRDefault="00796F6A" w:rsidP="00796F6A">
      <w:pPr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6C6995">
        <w:rPr>
          <w:color w:val="000000"/>
          <w:szCs w:val="21"/>
        </w:rPr>
        <w:t>——</w:t>
      </w:r>
      <w:r w:rsidRPr="006C6995">
        <w:rPr>
          <w:rFonts w:hAnsi="宋体" w:hint="eastAsia"/>
          <w:color w:val="000000"/>
          <w:szCs w:val="21"/>
        </w:rPr>
        <w:t>国家、地方等产品质量监督检查情况；</w:t>
      </w:r>
    </w:p>
    <w:p w:rsidR="00796F6A" w:rsidRPr="006C6995" w:rsidRDefault="00796F6A" w:rsidP="00796F6A">
      <w:pPr>
        <w:spacing w:line="360" w:lineRule="auto"/>
        <w:jc w:val="left"/>
        <w:rPr>
          <w:color w:val="000000"/>
          <w:szCs w:val="21"/>
        </w:rPr>
      </w:pPr>
      <w:r w:rsidRPr="006C6995">
        <w:rPr>
          <w:color w:val="000000"/>
          <w:szCs w:val="21"/>
        </w:rPr>
        <w:t xml:space="preserve">    ——</w:t>
      </w:r>
      <w:r w:rsidRPr="006C6995">
        <w:rPr>
          <w:rFonts w:hAnsi="宋体" w:hint="eastAsia"/>
          <w:color w:val="000000"/>
          <w:szCs w:val="21"/>
        </w:rPr>
        <w:t>质量</w:t>
      </w:r>
      <w:r w:rsidR="004A12F9" w:rsidRPr="00A90CA8">
        <w:rPr>
          <w:rFonts w:hAnsi="宋体" w:hint="eastAsia"/>
          <w:szCs w:val="21"/>
        </w:rPr>
        <w:t>承诺及</w:t>
      </w:r>
      <w:r w:rsidRPr="00A90CA8">
        <w:rPr>
          <w:rFonts w:hAnsi="宋体" w:hint="eastAsia"/>
          <w:szCs w:val="21"/>
        </w:rPr>
        <w:t>诚</w:t>
      </w:r>
      <w:r w:rsidRPr="006C6995">
        <w:rPr>
          <w:rFonts w:hAnsi="宋体" w:hint="eastAsia"/>
          <w:color w:val="000000"/>
          <w:szCs w:val="21"/>
        </w:rPr>
        <w:t>信管理方面的情况。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1</w:t>
      </w:r>
      <w:r w:rsidRPr="006C6995">
        <w:rPr>
          <w:rFonts w:ascii="黑体" w:eastAsia="黑体" w:hAnsi="黑体"/>
          <w:color w:val="000000"/>
        </w:rPr>
        <w:t>.3</w:t>
      </w:r>
      <w:r w:rsidRPr="006C6995">
        <w:rPr>
          <w:rFonts w:ascii="黑体" w:eastAsia="黑体" w:hAnsi="黑体" w:hint="eastAsia"/>
          <w:color w:val="000000"/>
        </w:rPr>
        <w:t>质量管理水平</w:t>
      </w:r>
    </w:p>
    <w:p w:rsidR="00796F6A" w:rsidRPr="00FC0624" w:rsidRDefault="00796F6A" w:rsidP="00796F6A">
      <w:pPr>
        <w:spacing w:line="360" w:lineRule="auto"/>
        <w:rPr>
          <w:rFonts w:ascii="宋体"/>
          <w:color w:val="FF0000"/>
          <w:szCs w:val="21"/>
        </w:rPr>
      </w:pPr>
      <w:r w:rsidRPr="006C6995">
        <w:rPr>
          <w:rFonts w:ascii="宋体" w:hAnsi="宋体"/>
          <w:color w:val="000000"/>
          <w:szCs w:val="21"/>
        </w:rPr>
        <w:t xml:space="preserve">    </w:t>
      </w:r>
      <w:r w:rsidRPr="006C6995">
        <w:rPr>
          <w:rFonts w:ascii="宋体" w:hAnsi="宋体" w:hint="eastAsia"/>
          <w:color w:val="000000"/>
          <w:szCs w:val="21"/>
        </w:rPr>
        <w:t>质量管理水平包括：</w:t>
      </w:r>
      <w:r w:rsidR="004A12F9" w:rsidRPr="00FC0624">
        <w:rPr>
          <w:rFonts w:ascii="宋体"/>
          <w:color w:val="FF0000"/>
          <w:szCs w:val="21"/>
        </w:rPr>
        <w:t xml:space="preserve"> 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质量管理体系建设及运行有效性；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  <w:szCs w:val="21"/>
        </w:rPr>
        <w:t>质量管理信息化水平；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近三年获得质量奖励情况。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bookmarkStart w:id="15" w:name="_Toc293924340"/>
      <w:r w:rsidRPr="006C6995">
        <w:rPr>
          <w:rFonts w:ascii="黑体" w:eastAsia="黑体" w:hAnsi="黑体"/>
          <w:color w:val="000000"/>
        </w:rPr>
        <w:t>5.</w:t>
      </w:r>
      <w:bookmarkEnd w:id="15"/>
      <w:r>
        <w:rPr>
          <w:rFonts w:ascii="黑体" w:eastAsia="黑体" w:hAnsi="黑体" w:hint="eastAsia"/>
          <w:color w:val="000000"/>
        </w:rPr>
        <w:t>2</w:t>
      </w:r>
      <w:r w:rsidRPr="006C6995">
        <w:rPr>
          <w:rFonts w:ascii="黑体" w:eastAsia="黑体" w:hAnsi="黑体" w:hint="eastAsia"/>
          <w:color w:val="000000"/>
        </w:rPr>
        <w:t>技术创新</w:t>
      </w:r>
      <w:bookmarkStart w:id="16" w:name="_Toc293924341"/>
    </w:p>
    <w:p w:rsidR="00796F6A" w:rsidRPr="006C6995" w:rsidRDefault="00796F6A" w:rsidP="00796F6A">
      <w:pPr>
        <w:rPr>
          <w:rFonts w:ascii="黑体" w:eastAsia="黑体" w:hAnsi="黑体"/>
          <w:color w:val="000000"/>
          <w:szCs w:val="21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2</w:t>
      </w:r>
      <w:r w:rsidRPr="006C6995">
        <w:rPr>
          <w:rFonts w:ascii="黑体" w:eastAsia="黑体" w:hAnsi="黑体"/>
          <w:color w:val="000000"/>
        </w:rPr>
        <w:t xml:space="preserve">.1 </w:t>
      </w:r>
      <w:r w:rsidRPr="006C6995">
        <w:rPr>
          <w:rFonts w:ascii="黑体" w:eastAsia="黑体" w:hAnsi="黑体" w:hint="eastAsia"/>
          <w:color w:val="000000"/>
        </w:rPr>
        <w:t>创新机制</w:t>
      </w:r>
    </w:p>
    <w:p w:rsidR="00796F6A" w:rsidRPr="006C6995" w:rsidRDefault="00796F6A" w:rsidP="00796F6A">
      <w:pPr>
        <w:spacing w:line="440" w:lineRule="exact"/>
        <w:ind w:firstLineChars="202" w:firstLine="424"/>
        <w:rPr>
          <w:rFonts w:eastAsia="黑体" w:hAnsi="黑体"/>
          <w:color w:val="000000"/>
        </w:rPr>
      </w:pPr>
      <w:r w:rsidRPr="006C6995">
        <w:rPr>
          <w:rFonts w:ascii="宋体" w:hAnsi="宋体" w:hint="eastAsia"/>
          <w:color w:val="000000"/>
        </w:rPr>
        <w:t>创新机制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440" w:lineRule="exact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创新机制建设情况；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企业创新技术支持平台（包括创新有关的技术中心、工程中心和研发中心等）。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2</w:t>
      </w:r>
      <w:r w:rsidRPr="006C6995">
        <w:rPr>
          <w:rFonts w:ascii="黑体" w:eastAsia="黑体" w:hAnsi="黑体"/>
          <w:color w:val="000000"/>
        </w:rPr>
        <w:t>.2</w:t>
      </w:r>
      <w:r w:rsidRPr="006C6995">
        <w:rPr>
          <w:rFonts w:ascii="黑体" w:eastAsia="黑体" w:hAnsi="黑体" w:hint="eastAsia"/>
          <w:color w:val="000000"/>
        </w:rPr>
        <w:t>创新能力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hAnsi="宋体"/>
          <w:color w:val="000000"/>
        </w:rPr>
      </w:pPr>
      <w:r w:rsidRPr="006C6995">
        <w:rPr>
          <w:rFonts w:hAnsi="宋体" w:hint="eastAsia"/>
          <w:color w:val="000000"/>
        </w:rPr>
        <w:t>创新能力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技术研发实力（</w:t>
      </w:r>
      <w:r w:rsidRPr="006C6995">
        <w:rPr>
          <w:rFonts w:hint="eastAsia"/>
          <w:color w:val="000000"/>
        </w:rPr>
        <w:t>研发人员所占比重等）；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新产品产值率；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lastRenderedPageBreak/>
        <w:t>——</w:t>
      </w:r>
      <w:r w:rsidRPr="006C6995">
        <w:rPr>
          <w:rFonts w:hAnsi="宋体" w:hint="eastAsia"/>
          <w:color w:val="000000"/>
          <w:szCs w:val="21"/>
        </w:rPr>
        <w:t>研发（</w:t>
      </w:r>
      <w:r w:rsidRPr="006C6995">
        <w:rPr>
          <w:color w:val="000000"/>
          <w:szCs w:val="21"/>
        </w:rPr>
        <w:t>R</w:t>
      </w:r>
      <w:r w:rsidRPr="006C6995">
        <w:rPr>
          <w:rFonts w:hAnsi="宋体" w:hint="eastAsia"/>
          <w:color w:val="000000"/>
          <w:szCs w:val="21"/>
        </w:rPr>
        <w:t>﹠</w:t>
      </w:r>
      <w:r w:rsidRPr="006C6995">
        <w:rPr>
          <w:color w:val="000000"/>
          <w:szCs w:val="21"/>
        </w:rPr>
        <w:t>D</w:t>
      </w:r>
      <w:r w:rsidRPr="006C6995">
        <w:rPr>
          <w:rFonts w:hAnsi="宋体" w:hint="eastAsia"/>
          <w:color w:val="000000"/>
          <w:szCs w:val="21"/>
        </w:rPr>
        <w:t>）经费投入（研发投入占销售额比重）。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2</w:t>
      </w:r>
      <w:r w:rsidRPr="006C6995">
        <w:rPr>
          <w:rFonts w:ascii="黑体" w:eastAsia="黑体" w:hAnsi="黑体"/>
          <w:color w:val="000000"/>
        </w:rPr>
        <w:t>.3</w:t>
      </w:r>
      <w:r w:rsidRPr="006C6995">
        <w:rPr>
          <w:rFonts w:ascii="黑体" w:eastAsia="黑体" w:hAnsi="黑体" w:hint="eastAsia"/>
          <w:color w:val="000000"/>
        </w:rPr>
        <w:t>创新成效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rFonts w:hAnsi="宋体" w:hint="eastAsia"/>
          <w:color w:val="000000"/>
        </w:rPr>
        <w:t>创新成效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拥有专利情况；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获得科技成果及奖励情况；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参与地方、行业、国家、国际标准制修订情况。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bookmarkEnd w:id="16"/>
      <w:r>
        <w:rPr>
          <w:rFonts w:ascii="黑体" w:eastAsia="黑体" w:hAnsi="黑体" w:hint="eastAsia"/>
          <w:color w:val="000000"/>
        </w:rPr>
        <w:t>3</w:t>
      </w:r>
      <w:r w:rsidRPr="006C6995">
        <w:rPr>
          <w:rFonts w:ascii="黑体" w:eastAsia="黑体" w:hAnsi="黑体" w:hint="eastAsia"/>
          <w:color w:val="000000"/>
        </w:rPr>
        <w:t>市场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3</w:t>
      </w:r>
      <w:r w:rsidRPr="006C6995">
        <w:rPr>
          <w:rFonts w:ascii="黑体" w:eastAsia="黑体" w:hAnsi="黑体"/>
          <w:color w:val="000000"/>
        </w:rPr>
        <w:t>.1</w:t>
      </w:r>
      <w:r w:rsidRPr="006C6995">
        <w:rPr>
          <w:rFonts w:ascii="黑体" w:eastAsia="黑体" w:hAnsi="黑体" w:hint="eastAsia"/>
          <w:color w:val="000000"/>
        </w:rPr>
        <w:t>市场开拓能力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hint="eastAsia"/>
          <w:color w:val="000000"/>
        </w:rPr>
        <w:t>市场开拓能力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5F7ABD" w:rsidRDefault="00796F6A" w:rsidP="00796F6A">
      <w:pPr>
        <w:spacing w:line="360" w:lineRule="auto"/>
        <w:ind w:firstLineChars="202" w:firstLine="424"/>
        <w:rPr>
          <w:color w:val="FF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国内市场占有率变化情况（三年）；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bookmarkStart w:id="17" w:name="_GoBack"/>
      <w:bookmarkEnd w:id="17"/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国际市场出口额变化情况（三年）。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3</w:t>
      </w:r>
      <w:r w:rsidRPr="006C6995">
        <w:rPr>
          <w:rFonts w:ascii="黑体" w:eastAsia="黑体" w:hAnsi="黑体"/>
          <w:color w:val="000000"/>
        </w:rPr>
        <w:t>.2</w:t>
      </w:r>
      <w:r w:rsidRPr="006C6995">
        <w:rPr>
          <w:rFonts w:ascii="黑体" w:eastAsia="黑体" w:hAnsi="黑体" w:hint="eastAsia"/>
          <w:color w:val="000000"/>
        </w:rPr>
        <w:t>市场影响力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hAnsi="宋体"/>
          <w:color w:val="000000"/>
        </w:rPr>
      </w:pPr>
      <w:r w:rsidRPr="006C6995">
        <w:rPr>
          <w:rFonts w:hAnsi="宋体" w:hint="eastAsia"/>
          <w:color w:val="000000"/>
        </w:rPr>
        <w:t>市场影响力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主营业务销售收入在行业中的排名位置；</w:t>
      </w:r>
    </w:p>
    <w:p w:rsidR="00796F6A" w:rsidRPr="00623EAF" w:rsidRDefault="00796F6A" w:rsidP="00796F6A">
      <w:pPr>
        <w:spacing w:line="360" w:lineRule="auto"/>
        <w:ind w:firstLineChars="202" w:firstLine="424"/>
        <w:rPr>
          <w:color w:val="FF0000"/>
        </w:rPr>
      </w:pPr>
      <w:r w:rsidRPr="006C6995">
        <w:rPr>
          <w:color w:val="000000"/>
        </w:rPr>
        <w:t>—</w:t>
      </w:r>
      <w:r w:rsidRPr="00A90CA8">
        <w:t>—</w:t>
      </w:r>
      <w:r w:rsidR="005325C3" w:rsidRPr="00A90CA8">
        <w:rPr>
          <w:rFonts w:hAnsi="宋体" w:hint="eastAsia"/>
        </w:rPr>
        <w:t>主营产品销售范围及重点用户、重大项目供应</w:t>
      </w:r>
      <w:r w:rsidRPr="00A90CA8">
        <w:rPr>
          <w:rFonts w:hAnsi="宋体" w:hint="eastAsia"/>
        </w:rPr>
        <w:t>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出口额占销售收入比例在行业中的排名位置。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 w:hint="eastAsia"/>
          <w:color w:val="000000"/>
        </w:rPr>
        <w:t>服务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/>
          <w:color w:val="000000"/>
        </w:rPr>
        <w:t>.</w:t>
      </w:r>
      <w:r>
        <w:rPr>
          <w:rFonts w:ascii="黑体" w:eastAsia="黑体" w:hAnsi="黑体" w:hint="eastAsia"/>
          <w:color w:val="000000"/>
        </w:rPr>
        <w:t>1服务能力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hint="eastAsia"/>
          <w:color w:val="000000"/>
        </w:rPr>
        <w:t>服务能力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服务机制及标准（包括售前、售中及售后，提供服务种类的多样性程度及特定化服务需求）；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服务基础条件（包括服务人员、服务设施、服务网点、服务获得的便捷程度等与服务能力承诺的匹配情况及投入）；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服务规定执行情况（服务响应时间、服务准确率、近三年服务投诉率）。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/>
          <w:color w:val="000000"/>
        </w:rPr>
        <w:t>.</w:t>
      </w:r>
      <w:r>
        <w:rPr>
          <w:rFonts w:ascii="黑体" w:eastAsia="黑体" w:hAnsi="黑体" w:hint="eastAsia"/>
          <w:color w:val="000000"/>
        </w:rPr>
        <w:t>2</w:t>
      </w:r>
      <w:r w:rsidRPr="006C6995">
        <w:rPr>
          <w:rFonts w:ascii="黑体" w:eastAsia="黑体" w:hAnsi="黑体" w:hint="eastAsia"/>
          <w:color w:val="000000"/>
        </w:rPr>
        <w:t>客户关系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hint="eastAsia"/>
          <w:color w:val="000000"/>
        </w:rPr>
        <w:t>客户关系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顾客满意度；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品牌忠诚度。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 w:rsidR="00A079A4"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/>
          <w:color w:val="000000"/>
        </w:rPr>
        <w:t>.</w:t>
      </w:r>
      <w:r w:rsidR="00A079A4">
        <w:rPr>
          <w:rFonts w:ascii="黑体" w:eastAsia="黑体" w:hAnsi="黑体" w:hint="eastAsia"/>
          <w:color w:val="000000"/>
        </w:rPr>
        <w:t>3</w:t>
      </w:r>
      <w:r w:rsidRPr="006C6995">
        <w:rPr>
          <w:rFonts w:ascii="黑体" w:eastAsia="黑体" w:hAnsi="黑体" w:hint="eastAsia"/>
          <w:color w:val="000000"/>
        </w:rPr>
        <w:t>影响力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hAnsi="宋体" w:hint="eastAsia"/>
          <w:color w:val="000000"/>
        </w:rPr>
        <w:t>影响力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lastRenderedPageBreak/>
        <w:t>——</w:t>
      </w:r>
      <w:r w:rsidRPr="006C6995">
        <w:rPr>
          <w:rFonts w:hAnsi="宋体" w:hint="eastAsia"/>
          <w:color w:val="000000"/>
        </w:rPr>
        <w:t>企业及注册商标历史；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宣传推广经费投入情况；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获得各类荣誉称号、标志、证书情况。</w:t>
      </w:r>
    </w:p>
    <w:p w:rsidR="00796F6A" w:rsidRPr="006C6995" w:rsidRDefault="00796F6A" w:rsidP="00796F6A">
      <w:pPr>
        <w:spacing w:line="360" w:lineRule="auto"/>
        <w:rPr>
          <w:rFonts w:ascii="黑体" w:eastAsia="黑体" w:hAnsi="黑体"/>
          <w:color w:val="000000"/>
        </w:rPr>
      </w:pPr>
      <w:r w:rsidRPr="006C6995">
        <w:rPr>
          <w:rFonts w:ascii="黑体" w:eastAsia="黑体" w:hAnsi="黑体"/>
          <w:color w:val="000000"/>
        </w:rPr>
        <w:t>5.</w:t>
      </w:r>
      <w:r w:rsidR="00A079A4"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/>
          <w:color w:val="000000"/>
        </w:rPr>
        <w:t>.</w:t>
      </w:r>
      <w:r w:rsidR="00A079A4">
        <w:rPr>
          <w:rFonts w:ascii="黑体" w:eastAsia="黑体" w:hAnsi="黑体" w:hint="eastAsia"/>
          <w:color w:val="000000"/>
        </w:rPr>
        <w:t>4</w:t>
      </w:r>
      <w:r w:rsidRPr="006C6995">
        <w:rPr>
          <w:rFonts w:ascii="黑体" w:eastAsia="黑体" w:hAnsi="黑体" w:hint="eastAsia"/>
          <w:color w:val="000000"/>
        </w:rPr>
        <w:t>品牌建设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hAnsi="宋体" w:hint="eastAsia"/>
          <w:color w:val="000000"/>
        </w:rPr>
        <w:t>品牌建设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品牌培育管理体系情况；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企业文化。</w:t>
      </w:r>
    </w:p>
    <w:p w:rsidR="00796F6A" w:rsidRPr="006C6995" w:rsidRDefault="00796F6A" w:rsidP="00796F6A">
      <w:pPr>
        <w:spacing w:line="360" w:lineRule="auto"/>
        <w:rPr>
          <w:rFonts w:eastAsia="黑体"/>
          <w:color w:val="000000"/>
        </w:rPr>
      </w:pPr>
      <w:r w:rsidRPr="006C6995">
        <w:rPr>
          <w:rFonts w:eastAsia="黑体"/>
          <w:color w:val="000000"/>
        </w:rPr>
        <w:t>5.</w:t>
      </w:r>
      <w:r w:rsidR="00DF71C9">
        <w:rPr>
          <w:rFonts w:eastAsia="黑体" w:hint="eastAsia"/>
          <w:color w:val="000000"/>
        </w:rPr>
        <w:t>5</w:t>
      </w:r>
      <w:r w:rsidRPr="006C6995">
        <w:rPr>
          <w:rFonts w:eastAsia="黑体" w:hint="eastAsia"/>
          <w:color w:val="000000"/>
        </w:rPr>
        <w:t>社会责任</w:t>
      </w:r>
    </w:p>
    <w:p w:rsidR="00796F6A" w:rsidRPr="006C6995" w:rsidRDefault="00796F6A" w:rsidP="00796F6A">
      <w:pPr>
        <w:spacing w:line="360" w:lineRule="auto"/>
        <w:rPr>
          <w:rFonts w:eastAsia="黑体"/>
          <w:color w:val="000000"/>
        </w:rPr>
      </w:pPr>
      <w:r w:rsidRPr="006C6995">
        <w:rPr>
          <w:rFonts w:eastAsia="黑体"/>
          <w:color w:val="000000"/>
        </w:rPr>
        <w:t>5.</w:t>
      </w:r>
      <w:r w:rsidR="00DF71C9">
        <w:rPr>
          <w:rFonts w:eastAsia="黑体" w:hint="eastAsia"/>
          <w:color w:val="000000"/>
        </w:rPr>
        <w:t>5</w:t>
      </w:r>
      <w:r w:rsidRPr="006C6995">
        <w:rPr>
          <w:rFonts w:eastAsia="黑体"/>
          <w:color w:val="000000"/>
        </w:rPr>
        <w:t>.1</w:t>
      </w:r>
      <w:bookmarkStart w:id="18" w:name="OLE_LINK29"/>
      <w:bookmarkStart w:id="19" w:name="OLE_LINK30"/>
      <w:r w:rsidRPr="006C6995">
        <w:rPr>
          <w:rFonts w:eastAsia="黑体" w:hint="eastAsia"/>
          <w:color w:val="000000"/>
        </w:rPr>
        <w:t>相关体系建设情况</w:t>
      </w:r>
      <w:bookmarkEnd w:id="18"/>
      <w:bookmarkEnd w:id="19"/>
    </w:p>
    <w:p w:rsidR="00796F6A" w:rsidRPr="006C6995" w:rsidRDefault="00796F6A" w:rsidP="00796F6A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6C6995">
        <w:rPr>
          <w:rFonts w:ascii="宋体" w:hAnsi="宋体" w:hint="eastAsia"/>
          <w:color w:val="000000"/>
        </w:rPr>
        <w:t>相关体系建设情况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color w:val="000000"/>
        </w:rPr>
        <w:t>——</w:t>
      </w:r>
      <w:bookmarkStart w:id="20" w:name="OLE_LINK27"/>
      <w:bookmarkStart w:id="21" w:name="OLE_LINK28"/>
      <w:r w:rsidRPr="006C6995">
        <w:rPr>
          <w:rFonts w:hAnsi="宋体" w:hint="eastAsia"/>
          <w:color w:val="000000"/>
          <w:szCs w:val="21"/>
        </w:rPr>
        <w:t>社会责任管理体系</w:t>
      </w:r>
      <w:bookmarkEnd w:id="20"/>
      <w:bookmarkEnd w:id="21"/>
      <w:r w:rsidRPr="006C6995">
        <w:rPr>
          <w:rFonts w:hAnsi="宋体" w:hint="eastAsia"/>
          <w:color w:val="000000"/>
          <w:szCs w:val="21"/>
        </w:rPr>
        <w:t>；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环境管理体系；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职业安全健康管理体系；</w:t>
      </w:r>
    </w:p>
    <w:p w:rsidR="00796F6A" w:rsidRPr="006C6995" w:rsidRDefault="00796F6A" w:rsidP="00796F6A">
      <w:pPr>
        <w:spacing w:line="360" w:lineRule="auto"/>
        <w:ind w:firstLineChars="200" w:firstLine="420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Ansi="宋体" w:hint="eastAsia"/>
          <w:color w:val="000000"/>
        </w:rPr>
        <w:t>能源管理体系。</w:t>
      </w:r>
    </w:p>
    <w:p w:rsidR="00796F6A" w:rsidRPr="006C6995" w:rsidRDefault="00796F6A" w:rsidP="00796F6A">
      <w:pPr>
        <w:spacing w:line="360" w:lineRule="auto"/>
        <w:rPr>
          <w:rFonts w:eastAsia="黑体"/>
          <w:color w:val="000000"/>
        </w:rPr>
      </w:pPr>
      <w:r w:rsidRPr="006C6995">
        <w:rPr>
          <w:rFonts w:eastAsia="黑体"/>
          <w:color w:val="000000"/>
        </w:rPr>
        <w:t>5.</w:t>
      </w:r>
      <w:r w:rsidR="00DF71C9">
        <w:rPr>
          <w:rFonts w:eastAsia="黑体" w:hint="eastAsia"/>
          <w:color w:val="000000"/>
        </w:rPr>
        <w:t>5</w:t>
      </w:r>
      <w:r w:rsidRPr="006C6995">
        <w:rPr>
          <w:rFonts w:eastAsia="黑体"/>
          <w:color w:val="000000"/>
        </w:rPr>
        <w:t xml:space="preserve">.2 </w:t>
      </w:r>
      <w:r w:rsidRPr="006C6995">
        <w:rPr>
          <w:rFonts w:eastAsia="黑体" w:hint="eastAsia"/>
          <w:color w:val="000000"/>
        </w:rPr>
        <w:t>企业形象</w:t>
      </w:r>
    </w:p>
    <w:p w:rsidR="00796F6A" w:rsidRPr="006C6995" w:rsidRDefault="00796F6A" w:rsidP="00796F6A">
      <w:pPr>
        <w:spacing w:line="360" w:lineRule="auto"/>
        <w:ind w:firstLineChars="200" w:firstLine="420"/>
        <w:rPr>
          <w:rFonts w:ascii="宋体"/>
          <w:color w:val="000000"/>
          <w:szCs w:val="21"/>
        </w:rPr>
      </w:pPr>
      <w:r w:rsidRPr="006C6995">
        <w:rPr>
          <w:rFonts w:ascii="宋体" w:hAnsi="宋体" w:hint="eastAsia"/>
          <w:color w:val="000000"/>
        </w:rPr>
        <w:t>企业形象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社会公益、慈善和福利活动；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保护自然环境情况；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社会承诺；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社会责任报告；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股东权益；</w:t>
      </w:r>
    </w:p>
    <w:p w:rsidR="00796F6A" w:rsidRPr="006C6995" w:rsidRDefault="00796F6A" w:rsidP="00796F6A">
      <w:pPr>
        <w:ind w:firstLineChars="202" w:firstLine="424"/>
        <w:rPr>
          <w:color w:val="000000"/>
          <w:szCs w:val="21"/>
        </w:rPr>
      </w:pPr>
      <w:r w:rsidRPr="006C6995">
        <w:rPr>
          <w:color w:val="000000"/>
          <w:szCs w:val="21"/>
        </w:rPr>
        <w:t>——</w:t>
      </w:r>
      <w:r w:rsidRPr="006C6995">
        <w:rPr>
          <w:rFonts w:hint="eastAsia"/>
          <w:color w:val="000000"/>
          <w:szCs w:val="21"/>
        </w:rPr>
        <w:t>供应链相关方的评价。</w:t>
      </w:r>
    </w:p>
    <w:p w:rsidR="00796F6A" w:rsidRPr="006C6995" w:rsidRDefault="00796F6A" w:rsidP="00796F6A">
      <w:pPr>
        <w:spacing w:line="360" w:lineRule="auto"/>
        <w:rPr>
          <w:color w:val="000000"/>
        </w:rPr>
      </w:pPr>
      <w:r w:rsidRPr="006C6995">
        <w:rPr>
          <w:rFonts w:eastAsia="黑体"/>
          <w:color w:val="000000"/>
        </w:rPr>
        <w:t>5.</w:t>
      </w:r>
      <w:r w:rsidR="00DF71C9">
        <w:rPr>
          <w:rFonts w:eastAsia="黑体" w:hint="eastAsia"/>
          <w:color w:val="000000"/>
        </w:rPr>
        <w:t>5</w:t>
      </w:r>
      <w:r w:rsidRPr="006C6995">
        <w:rPr>
          <w:rFonts w:eastAsia="黑体"/>
          <w:color w:val="000000"/>
        </w:rPr>
        <w:t>.3</w:t>
      </w:r>
      <w:r w:rsidRPr="006C6995">
        <w:rPr>
          <w:rFonts w:eastAsia="黑体" w:hAnsi="黑体" w:hint="eastAsia"/>
          <w:color w:val="000000"/>
        </w:rPr>
        <w:t>员工关怀</w:t>
      </w:r>
    </w:p>
    <w:p w:rsidR="00796F6A" w:rsidRPr="006C6995" w:rsidRDefault="00796F6A" w:rsidP="00796F6A">
      <w:pPr>
        <w:spacing w:line="360" w:lineRule="auto"/>
        <w:ind w:firstLineChars="202" w:firstLine="424"/>
        <w:rPr>
          <w:rFonts w:ascii="宋体"/>
          <w:color w:val="000000"/>
          <w:szCs w:val="21"/>
        </w:rPr>
      </w:pPr>
      <w:r w:rsidRPr="006C6995">
        <w:rPr>
          <w:rFonts w:ascii="宋体" w:hAnsi="宋体" w:hint="eastAsia"/>
          <w:color w:val="000000"/>
        </w:rPr>
        <w:t>员工关怀</w:t>
      </w:r>
      <w:r w:rsidRPr="006C6995">
        <w:rPr>
          <w:rFonts w:ascii="宋体" w:hAnsi="宋体" w:hint="eastAsia"/>
          <w:color w:val="000000"/>
          <w:szCs w:val="21"/>
        </w:rPr>
        <w:t>包括：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薪酬；</w:t>
      </w:r>
    </w:p>
    <w:p w:rsidR="00796F6A" w:rsidRPr="006C6995" w:rsidRDefault="00796F6A" w:rsidP="00796F6A">
      <w:pPr>
        <w:spacing w:line="360" w:lineRule="auto"/>
        <w:ind w:firstLineChars="202" w:firstLine="424"/>
        <w:rPr>
          <w:color w:val="000000"/>
        </w:rPr>
      </w:pPr>
      <w:r w:rsidRPr="006C6995">
        <w:rPr>
          <w:color w:val="000000"/>
        </w:rPr>
        <w:t>——</w:t>
      </w:r>
      <w:r w:rsidRPr="006C6995">
        <w:rPr>
          <w:rFonts w:hint="eastAsia"/>
          <w:color w:val="000000"/>
        </w:rPr>
        <w:t>福利和劳动保障。</w:t>
      </w:r>
    </w:p>
    <w:p w:rsidR="0029329D" w:rsidRPr="001A03A9" w:rsidRDefault="007958EC" w:rsidP="00796F6A">
      <w:pPr>
        <w:pStyle w:val="1"/>
        <w:spacing w:beforeLines="50" w:before="156" w:after="0" w:line="240" w:lineRule="auto"/>
        <w:jc w:val="left"/>
        <w:rPr>
          <w:rFonts w:ascii="黑体" w:eastAsia="黑体"/>
          <w:b w:val="0"/>
          <w:sz w:val="24"/>
          <w:szCs w:val="24"/>
        </w:rPr>
      </w:pPr>
      <w:r>
        <w:rPr>
          <w:rFonts w:ascii="黑体" w:eastAsia="黑体" w:hint="eastAsia"/>
          <w:b w:val="0"/>
          <w:sz w:val="24"/>
          <w:szCs w:val="24"/>
        </w:rPr>
        <w:t>6</w:t>
      </w:r>
      <w:r w:rsidR="0029329D" w:rsidRPr="001A03A9">
        <w:rPr>
          <w:rFonts w:ascii="黑体" w:eastAsia="黑体" w:hint="eastAsia"/>
          <w:b w:val="0"/>
          <w:sz w:val="24"/>
          <w:szCs w:val="24"/>
        </w:rPr>
        <w:t xml:space="preserve"> </w:t>
      </w:r>
      <w:bookmarkEnd w:id="14"/>
      <w:r>
        <w:rPr>
          <w:rFonts w:ascii="黑体" w:eastAsia="黑体" w:hint="eastAsia"/>
          <w:b w:val="0"/>
          <w:sz w:val="24"/>
          <w:szCs w:val="24"/>
        </w:rPr>
        <w:t>评价流程</w:t>
      </w:r>
    </w:p>
    <w:p w:rsidR="0029329D" w:rsidRPr="001A03A9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22" w:name="_Toc310928273"/>
      <w:bookmarkStart w:id="23" w:name="_Toc338072186"/>
      <w:bookmarkStart w:id="24" w:name="_Toc377116685"/>
      <w:r>
        <w:rPr>
          <w:rFonts w:ascii="宋体" w:hAnsi="宋体" w:hint="eastAsia"/>
          <w:sz w:val="21"/>
          <w:szCs w:val="21"/>
        </w:rPr>
        <w:t>6</w:t>
      </w:r>
      <w:r w:rsidRPr="001A03A9">
        <w:rPr>
          <w:rFonts w:ascii="宋体" w:hAnsi="宋体" w:hint="eastAsia"/>
          <w:sz w:val="21"/>
          <w:szCs w:val="21"/>
        </w:rPr>
        <w:t>.1评价目的</w:t>
      </w:r>
      <w:bookmarkEnd w:id="22"/>
      <w:bookmarkEnd w:id="23"/>
      <w:bookmarkEnd w:id="24"/>
    </w:p>
    <w:p w:rsidR="0029329D" w:rsidRDefault="0029329D" w:rsidP="0029329D">
      <w:pPr>
        <w:spacing w:line="360" w:lineRule="auto"/>
        <w:ind w:firstLineChars="202" w:firstLine="424"/>
      </w:pPr>
      <w:r>
        <w:rPr>
          <w:rFonts w:ascii="宋体" w:hAnsi="宋体" w:hint="eastAsia"/>
          <w:szCs w:val="21"/>
        </w:rPr>
        <w:t>根据测算意向用途、结果使用方</w:t>
      </w:r>
      <w:r w:rsidRPr="00D047A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被测算品牌特性等因素确定评价目的。不同的评价目的，会影响评价程序、测算精度和结果报告形式。</w:t>
      </w:r>
    </w:p>
    <w:p w:rsidR="0029329D" w:rsidRPr="001A03A9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25" w:name="_Toc310928274"/>
      <w:bookmarkStart w:id="26" w:name="_Toc338072187"/>
      <w:bookmarkStart w:id="27" w:name="_Toc377116686"/>
      <w:r>
        <w:rPr>
          <w:rFonts w:ascii="宋体" w:hAnsi="宋体" w:hint="eastAsia"/>
          <w:sz w:val="21"/>
          <w:szCs w:val="21"/>
        </w:rPr>
        <w:lastRenderedPageBreak/>
        <w:t>6</w:t>
      </w:r>
      <w:r w:rsidRPr="001A03A9">
        <w:rPr>
          <w:rFonts w:ascii="宋体" w:hAnsi="宋体" w:hint="eastAsia"/>
          <w:sz w:val="21"/>
          <w:szCs w:val="21"/>
        </w:rPr>
        <w:t>.2</w:t>
      </w:r>
      <w:bookmarkStart w:id="28" w:name="_Toc310928275"/>
      <w:bookmarkStart w:id="29" w:name="_Toc338072188"/>
      <w:bookmarkEnd w:id="25"/>
      <w:bookmarkEnd w:id="26"/>
      <w:bookmarkEnd w:id="27"/>
      <w:r w:rsidR="007958EC">
        <w:rPr>
          <w:rFonts w:ascii="宋体" w:hAnsi="宋体" w:hint="eastAsia"/>
          <w:sz w:val="21"/>
          <w:szCs w:val="21"/>
        </w:rPr>
        <w:t>指标设计</w:t>
      </w:r>
    </w:p>
    <w:p w:rsidR="0029329D" w:rsidRDefault="0029329D" w:rsidP="0029329D">
      <w:pPr>
        <w:spacing w:line="360" w:lineRule="auto"/>
        <w:ind w:firstLineChars="202" w:firstLine="424"/>
      </w:pPr>
      <w:r>
        <w:rPr>
          <w:rFonts w:hint="eastAsia"/>
        </w:rPr>
        <w:t>本标准所测算的品牌价值综合考虑企业的财务、质量、</w:t>
      </w:r>
      <w:r w:rsidR="00A079A4">
        <w:rPr>
          <w:rFonts w:hint="eastAsia"/>
        </w:rPr>
        <w:t>技术</w:t>
      </w:r>
      <w:r>
        <w:rPr>
          <w:rFonts w:hint="eastAsia"/>
        </w:rPr>
        <w:t>创新、</w:t>
      </w:r>
      <w:r w:rsidR="00A079A4">
        <w:rPr>
          <w:rFonts w:hint="eastAsia"/>
        </w:rPr>
        <w:t>市场、</w:t>
      </w:r>
      <w:r>
        <w:rPr>
          <w:rFonts w:hint="eastAsia"/>
        </w:rPr>
        <w:t>服务</w:t>
      </w:r>
      <w:r w:rsidR="00A079A4">
        <w:rPr>
          <w:rFonts w:hint="eastAsia"/>
        </w:rPr>
        <w:t>、社会责任</w:t>
      </w:r>
      <w:r w:rsidR="007958EC">
        <w:rPr>
          <w:rFonts w:hint="eastAsia"/>
        </w:rPr>
        <w:t>等方面的因素，尤其是质量、</w:t>
      </w:r>
      <w:r w:rsidR="00A079A4">
        <w:rPr>
          <w:rFonts w:hint="eastAsia"/>
        </w:rPr>
        <w:t>技术创新、服务</w:t>
      </w:r>
      <w:r w:rsidR="007958EC">
        <w:rPr>
          <w:rFonts w:hint="eastAsia"/>
        </w:rPr>
        <w:t>等非财务因素对品牌价值的影响，形成全面科学的评价指标体系</w:t>
      </w:r>
    </w:p>
    <w:p w:rsidR="0029329D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30" w:name="_Toc377116687"/>
      <w:r>
        <w:rPr>
          <w:rFonts w:ascii="宋体" w:hAnsi="宋体" w:hint="eastAsia"/>
          <w:sz w:val="21"/>
          <w:szCs w:val="21"/>
        </w:rPr>
        <w:t>6</w:t>
      </w:r>
      <w:r w:rsidRPr="001A03A9">
        <w:rPr>
          <w:rFonts w:ascii="宋体" w:hAnsi="宋体" w:hint="eastAsia"/>
          <w:sz w:val="21"/>
          <w:szCs w:val="21"/>
        </w:rPr>
        <w:t>.3</w:t>
      </w:r>
      <w:bookmarkStart w:id="31" w:name="_Toc310928276"/>
      <w:bookmarkStart w:id="32" w:name="_Toc338072189"/>
      <w:bookmarkEnd w:id="28"/>
      <w:bookmarkEnd w:id="29"/>
      <w:bookmarkEnd w:id="30"/>
      <w:r w:rsidR="007958EC">
        <w:rPr>
          <w:rFonts w:ascii="宋体" w:hAnsi="宋体" w:hint="eastAsia"/>
          <w:sz w:val="21"/>
          <w:szCs w:val="21"/>
        </w:rPr>
        <w:t>数据收集</w:t>
      </w:r>
    </w:p>
    <w:p w:rsidR="007958EC" w:rsidRPr="007958EC" w:rsidRDefault="007958EC" w:rsidP="007958EC">
      <w:pPr>
        <w:spacing w:line="360" w:lineRule="auto"/>
        <w:ind w:firstLineChars="202" w:firstLine="424"/>
      </w:pPr>
      <w:r>
        <w:rPr>
          <w:rFonts w:hint="eastAsia"/>
        </w:rPr>
        <w:t>遵循真实、准确、客观的原则，采集企业财务与其他信息，作为企业或第三方评价的输入值。</w:t>
      </w:r>
    </w:p>
    <w:p w:rsidR="0029329D" w:rsidRDefault="0029329D" w:rsidP="0029329D">
      <w:pPr>
        <w:pStyle w:val="2"/>
        <w:spacing w:before="0" w:after="0" w:line="415" w:lineRule="auto"/>
        <w:rPr>
          <w:rFonts w:ascii="宋体" w:hAnsi="宋体"/>
          <w:sz w:val="21"/>
          <w:szCs w:val="21"/>
        </w:rPr>
      </w:pPr>
      <w:bookmarkStart w:id="33" w:name="_Toc377116688"/>
      <w:r>
        <w:rPr>
          <w:rFonts w:ascii="宋体" w:hAnsi="宋体" w:hint="eastAsia"/>
          <w:sz w:val="21"/>
          <w:szCs w:val="21"/>
        </w:rPr>
        <w:t>6</w:t>
      </w:r>
      <w:r w:rsidRPr="001A03A9">
        <w:rPr>
          <w:rFonts w:ascii="宋体" w:hAnsi="宋体" w:hint="eastAsia"/>
          <w:sz w:val="21"/>
          <w:szCs w:val="21"/>
        </w:rPr>
        <w:t>.4</w:t>
      </w:r>
      <w:bookmarkStart w:id="34" w:name="_Toc310928277"/>
      <w:bookmarkStart w:id="35" w:name="_Toc338072190"/>
      <w:bookmarkEnd w:id="31"/>
      <w:bookmarkEnd w:id="32"/>
      <w:bookmarkEnd w:id="33"/>
      <w:r w:rsidR="007958EC">
        <w:rPr>
          <w:rFonts w:ascii="宋体" w:hAnsi="宋体" w:hint="eastAsia"/>
          <w:sz w:val="21"/>
          <w:szCs w:val="21"/>
        </w:rPr>
        <w:t>数据验证</w:t>
      </w:r>
    </w:p>
    <w:p w:rsidR="00A079A4" w:rsidRPr="006C6995" w:rsidRDefault="00A079A4" w:rsidP="00A079A4">
      <w:pPr>
        <w:ind w:firstLineChars="202" w:firstLine="424"/>
        <w:rPr>
          <w:rFonts w:ascii="宋体"/>
          <w:color w:val="000000"/>
        </w:rPr>
      </w:pPr>
      <w:r w:rsidRPr="006C6995">
        <w:rPr>
          <w:rFonts w:ascii="宋体" w:hAnsi="宋体" w:hint="eastAsia"/>
          <w:color w:val="000000"/>
        </w:rPr>
        <w:t>测算过程包括：</w:t>
      </w:r>
    </w:p>
    <w:p w:rsidR="00A079A4" w:rsidRPr="006C6995" w:rsidRDefault="00A079A4" w:rsidP="00A079A4">
      <w:pPr>
        <w:ind w:firstLineChars="202" w:firstLine="424"/>
        <w:rPr>
          <w:rFonts w:ascii="宋体"/>
          <w:color w:val="000000"/>
        </w:rPr>
      </w:pPr>
      <w:r w:rsidRPr="006C6995">
        <w:rPr>
          <w:rFonts w:ascii="宋体" w:hAnsi="宋体" w:hint="eastAsia"/>
          <w:color w:val="000000"/>
        </w:rPr>
        <w:t>――根据企业财务信息，计算每个评价周期内的品牌现金流（</w:t>
      </w:r>
      <w:r w:rsidRPr="006C6995">
        <w:rPr>
          <w:i/>
          <w:color w:val="000000"/>
        </w:rPr>
        <w:t>F</w:t>
      </w:r>
      <w:r w:rsidRPr="006C6995">
        <w:rPr>
          <w:i/>
          <w:color w:val="000000"/>
          <w:vertAlign w:val="subscript"/>
        </w:rPr>
        <w:t>BC</w:t>
      </w:r>
      <w:r w:rsidRPr="006C6995">
        <w:rPr>
          <w:rFonts w:ascii="宋体" w:hAnsi="宋体" w:hint="eastAsia"/>
          <w:color w:val="000000"/>
        </w:rPr>
        <w:t>），预测未来各周期品牌现金流；</w:t>
      </w:r>
    </w:p>
    <w:p w:rsidR="00A079A4" w:rsidRPr="006C6995" w:rsidRDefault="00A079A4" w:rsidP="00A079A4">
      <w:pPr>
        <w:ind w:firstLineChars="202" w:firstLine="424"/>
        <w:rPr>
          <w:rFonts w:ascii="宋体"/>
          <w:color w:val="000000"/>
        </w:rPr>
      </w:pPr>
      <w:r w:rsidRPr="006C6995">
        <w:rPr>
          <w:rFonts w:ascii="宋体" w:hAnsi="宋体" w:hint="eastAsia"/>
          <w:color w:val="000000"/>
        </w:rPr>
        <w:t>――采用适当方法汇总各级评价指标，计算品牌强度系数</w:t>
      </w:r>
      <w:r w:rsidRPr="006C6995">
        <w:rPr>
          <w:rFonts w:ascii="宋体" w:hAnsi="宋体"/>
          <w:color w:val="000000"/>
        </w:rPr>
        <w:t>K</w:t>
      </w:r>
      <w:r w:rsidRPr="006C6995">
        <w:rPr>
          <w:rFonts w:ascii="宋体" w:hAnsi="宋体" w:hint="eastAsia"/>
          <w:color w:val="000000"/>
        </w:rPr>
        <w:t>；</w:t>
      </w:r>
    </w:p>
    <w:p w:rsidR="00A079A4" w:rsidRPr="00A079A4" w:rsidRDefault="00A079A4" w:rsidP="00A079A4">
      <w:pPr>
        <w:spacing w:line="360" w:lineRule="auto"/>
        <w:ind w:firstLineChars="202" w:firstLine="424"/>
        <w:rPr>
          <w:rFonts w:ascii="宋体"/>
          <w:color w:val="000000"/>
        </w:rPr>
      </w:pPr>
      <w:r w:rsidRPr="006C6995">
        <w:rPr>
          <w:rFonts w:ascii="宋体" w:hAnsi="宋体" w:hint="eastAsia"/>
          <w:color w:val="000000"/>
        </w:rPr>
        <w:t>――将上述信息输入到评价模型中，计算所测算品牌的价值。</w:t>
      </w:r>
    </w:p>
    <w:bookmarkEnd w:id="34"/>
    <w:bookmarkEnd w:id="35"/>
    <w:p w:rsidR="00A079A4" w:rsidRPr="006C6995" w:rsidRDefault="00A079A4" w:rsidP="00A079A4">
      <w:pPr>
        <w:spacing w:line="360" w:lineRule="auto"/>
        <w:rPr>
          <w:rFonts w:ascii="黑体" w:eastAsia="黑体" w:hAnsi="宋体"/>
          <w:color w:val="000000"/>
        </w:rPr>
      </w:pPr>
      <w:r w:rsidRPr="006C6995">
        <w:rPr>
          <w:rFonts w:ascii="黑体" w:eastAsia="黑体" w:hAnsi="宋体"/>
          <w:color w:val="000000"/>
        </w:rPr>
        <w:t>6.</w:t>
      </w:r>
      <w:r>
        <w:rPr>
          <w:rFonts w:ascii="黑体" w:eastAsia="黑体" w:hAnsi="宋体" w:hint="eastAsia"/>
          <w:color w:val="000000"/>
        </w:rPr>
        <w:t>5评价</w:t>
      </w:r>
      <w:r w:rsidRPr="006C6995">
        <w:rPr>
          <w:rFonts w:ascii="黑体" w:eastAsia="黑体" w:hAnsi="宋体" w:hint="eastAsia"/>
          <w:color w:val="000000"/>
        </w:rPr>
        <w:t>测算结果</w:t>
      </w:r>
    </w:p>
    <w:p w:rsidR="00A079A4" w:rsidRPr="006C6995" w:rsidRDefault="00A079A4" w:rsidP="00A079A4">
      <w:pPr>
        <w:spacing w:line="360" w:lineRule="auto"/>
        <w:ind w:firstLineChars="202" w:firstLine="424"/>
        <w:rPr>
          <w:rFonts w:ascii="宋体"/>
          <w:color w:val="000000"/>
        </w:rPr>
      </w:pPr>
      <w:r w:rsidRPr="006C6995">
        <w:rPr>
          <w:rFonts w:hint="eastAsia"/>
          <w:color w:val="000000"/>
        </w:rPr>
        <w:t>根据评价目的，选择适当形式报告测算结果（比如，企业自查、行业发布、行业及政府联合发布、第三方评价机构发布等）。</w:t>
      </w:r>
    </w:p>
    <w:p w:rsidR="00794276" w:rsidRPr="0029329D" w:rsidRDefault="00794276"/>
    <w:sectPr w:rsidR="00794276" w:rsidRPr="0029329D" w:rsidSect="0079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D9" w:rsidRDefault="00A84AD9" w:rsidP="0029329D">
      <w:r>
        <w:separator/>
      </w:r>
    </w:p>
  </w:endnote>
  <w:endnote w:type="continuationSeparator" w:id="0">
    <w:p w:rsidR="00A84AD9" w:rsidRDefault="00A84AD9" w:rsidP="0029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D9" w:rsidRDefault="00A84AD9" w:rsidP="0029329D">
      <w:r>
        <w:separator/>
      </w:r>
    </w:p>
  </w:footnote>
  <w:footnote w:type="continuationSeparator" w:id="0">
    <w:p w:rsidR="00A84AD9" w:rsidRDefault="00A84AD9" w:rsidP="0029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29D"/>
    <w:rsid w:val="0006379B"/>
    <w:rsid w:val="000E104A"/>
    <w:rsid w:val="0029302D"/>
    <w:rsid w:val="0029329D"/>
    <w:rsid w:val="002D6156"/>
    <w:rsid w:val="002F2480"/>
    <w:rsid w:val="003C3B67"/>
    <w:rsid w:val="004A12F9"/>
    <w:rsid w:val="004A3ECC"/>
    <w:rsid w:val="005325C3"/>
    <w:rsid w:val="005F3831"/>
    <w:rsid w:val="005F7ABD"/>
    <w:rsid w:val="00623EAF"/>
    <w:rsid w:val="00794276"/>
    <w:rsid w:val="007958EC"/>
    <w:rsid w:val="00796F6A"/>
    <w:rsid w:val="008F5993"/>
    <w:rsid w:val="00A079A4"/>
    <w:rsid w:val="00A84AD9"/>
    <w:rsid w:val="00A90CA8"/>
    <w:rsid w:val="00DF71C9"/>
    <w:rsid w:val="00E94361"/>
    <w:rsid w:val="00F662FC"/>
    <w:rsid w:val="00F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EAA3"/>
  <w15:docId w15:val="{7CC18C30-F92C-472E-B31A-E3C69B2A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932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9329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9329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2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29D"/>
    <w:rPr>
      <w:sz w:val="18"/>
      <w:szCs w:val="18"/>
    </w:rPr>
  </w:style>
  <w:style w:type="character" w:customStyle="1" w:styleId="10">
    <w:name w:val="标题 1 字符"/>
    <w:basedOn w:val="a0"/>
    <w:link w:val="1"/>
    <w:rsid w:val="0029329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29329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29329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boling liu</cp:lastModifiedBy>
  <cp:revision>11</cp:revision>
  <cp:lastPrinted>2017-10-19T10:46:00Z</cp:lastPrinted>
  <dcterms:created xsi:type="dcterms:W3CDTF">2017-07-03T11:34:00Z</dcterms:created>
  <dcterms:modified xsi:type="dcterms:W3CDTF">2017-10-19T10:46:00Z</dcterms:modified>
</cp:coreProperties>
</file>